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ED6" w:rsidRPr="0005337A" w:rsidRDefault="00AC168B">
      <w:pPr>
        <w:pStyle w:val="titel-algemeen"/>
        <w:jc w:val="center"/>
      </w:pPr>
      <w:r>
        <w:rPr>
          <w:sz w:val="32"/>
          <w:szCs w:val="32"/>
        </w:rPr>
        <w:t>(U)RANS pool thermal Hydraulics</w:t>
      </w:r>
      <w:r w:rsidR="00F21D0B">
        <w:rPr>
          <w:sz w:val="32"/>
          <w:szCs w:val="32"/>
        </w:rPr>
        <w:t xml:space="preserve"> </w:t>
      </w:r>
    </w:p>
    <w:p w:rsidR="00AC168B" w:rsidRPr="00AC168B" w:rsidRDefault="00AC168B" w:rsidP="00AC168B">
      <w:pPr>
        <w:pStyle w:val="titel-algemeen"/>
        <w:spacing w:before="0" w:after="0" w:line="310" w:lineRule="atLeast"/>
        <w:jc w:val="center"/>
        <w:rPr>
          <w:caps w:val="0"/>
        </w:rPr>
      </w:pPr>
      <w:proofErr w:type="spellStart"/>
      <w:r>
        <w:rPr>
          <w:caps w:val="0"/>
        </w:rPr>
        <w:t>Lilla</w:t>
      </w:r>
      <w:proofErr w:type="spellEnd"/>
      <w:r>
        <w:rPr>
          <w:caps w:val="0"/>
        </w:rPr>
        <w:t xml:space="preserve"> </w:t>
      </w:r>
      <w:proofErr w:type="spellStart"/>
      <w:r>
        <w:rPr>
          <w:caps w:val="0"/>
        </w:rPr>
        <w:t>Koloszar</w:t>
      </w:r>
      <w:proofErr w:type="spellEnd"/>
      <w:r>
        <w:rPr>
          <w:caps w:val="0"/>
        </w:rPr>
        <w:t xml:space="preserve">, </w:t>
      </w:r>
      <w:r w:rsidR="00F21D0B">
        <w:rPr>
          <w:caps w:val="0"/>
        </w:rPr>
        <w:t>Vincent Moreau</w:t>
      </w:r>
    </w:p>
    <w:p w:rsidR="00AC168B" w:rsidRDefault="00AC168B">
      <w:pPr>
        <w:jc w:val="center"/>
        <w:rPr>
          <w:b/>
          <w:sz w:val="28"/>
        </w:rPr>
      </w:pPr>
      <w:r>
        <w:rPr>
          <w:b/>
          <w:sz w:val="28"/>
        </w:rPr>
        <w:t xml:space="preserve">Von Karman Institute for Fluid Dynamic VKI </w:t>
      </w:r>
    </w:p>
    <w:p w:rsidR="00AC168B" w:rsidRDefault="00AC168B">
      <w:pPr>
        <w:jc w:val="center"/>
        <w:rPr>
          <w:b/>
          <w:sz w:val="28"/>
        </w:rPr>
      </w:pPr>
      <w:r>
        <w:rPr>
          <w:b/>
          <w:sz w:val="28"/>
        </w:rPr>
        <w:t>koloszar@vki.ac.be</w:t>
      </w:r>
    </w:p>
    <w:p w:rsidR="009E7ED6" w:rsidRPr="0005337A" w:rsidRDefault="00F21D0B">
      <w:pPr>
        <w:jc w:val="center"/>
        <w:rPr>
          <w:b/>
          <w:sz w:val="28"/>
        </w:rPr>
      </w:pPr>
      <w:r>
        <w:rPr>
          <w:b/>
          <w:sz w:val="28"/>
        </w:rPr>
        <w:t>Centre for Advanced Studies, Research and Development in Sardinia CRS4</w:t>
      </w:r>
    </w:p>
    <w:p w:rsidR="009E7ED6" w:rsidRPr="0005337A" w:rsidRDefault="009E7ED6">
      <w:pPr>
        <w:jc w:val="center"/>
        <w:rPr>
          <w:b/>
          <w:sz w:val="28"/>
        </w:rPr>
      </w:pPr>
      <w:r w:rsidRPr="0005337A">
        <w:rPr>
          <w:b/>
          <w:sz w:val="28"/>
        </w:rPr>
        <w:t>Departmen</w:t>
      </w:r>
      <w:r w:rsidR="00F21D0B">
        <w:rPr>
          <w:b/>
          <w:sz w:val="28"/>
        </w:rPr>
        <w:t xml:space="preserve">t of Energy &amp; Environment </w:t>
      </w:r>
    </w:p>
    <w:p w:rsidR="009E7ED6" w:rsidRPr="0005337A" w:rsidRDefault="00F21D0B">
      <w:pPr>
        <w:jc w:val="center"/>
        <w:rPr>
          <w:b/>
          <w:sz w:val="28"/>
        </w:rPr>
      </w:pPr>
      <w:r>
        <w:rPr>
          <w:b/>
          <w:sz w:val="28"/>
        </w:rPr>
        <w:t>moreau@crs4.it</w:t>
      </w:r>
    </w:p>
    <w:p w:rsidR="009E7ED6" w:rsidRPr="0005337A" w:rsidRDefault="009E7ED6">
      <w:pPr>
        <w:jc w:val="center"/>
        <w:rPr>
          <w:b/>
          <w:sz w:val="28"/>
        </w:rPr>
      </w:pPr>
    </w:p>
    <w:p w:rsidR="009E7ED6" w:rsidRPr="0005337A" w:rsidRDefault="009E7ED6">
      <w:pPr>
        <w:pStyle w:val="titel-algemeen"/>
      </w:pPr>
      <w:r w:rsidRPr="0005337A">
        <w:t>Contents</w:t>
      </w:r>
    </w:p>
    <w:p w:rsidR="003B7F32" w:rsidRDefault="00066E55">
      <w:pPr>
        <w:pStyle w:val="TOC1"/>
        <w:rPr>
          <w:rFonts w:asciiTheme="minorHAnsi" w:eastAsiaTheme="minorEastAsia" w:hAnsiTheme="minorHAnsi" w:cstheme="minorBidi"/>
          <w:b w:val="0"/>
          <w:caps w:val="0"/>
          <w:sz w:val="22"/>
          <w:szCs w:val="22"/>
          <w:lang w:eastAsia="en-GB"/>
        </w:rPr>
      </w:pPr>
      <w:r w:rsidRPr="00066E55">
        <w:fldChar w:fldCharType="begin"/>
      </w:r>
      <w:r w:rsidR="009E7ED6" w:rsidRPr="0005337A">
        <w:instrText xml:space="preserve"> TOC \o "1-3" </w:instrText>
      </w:r>
      <w:r w:rsidRPr="00066E55">
        <w:fldChar w:fldCharType="separate"/>
      </w:r>
      <w:r w:rsidR="003B7F32">
        <w:t>Nomenclature</w:t>
      </w:r>
      <w:r w:rsidR="003B7F32">
        <w:tab/>
      </w:r>
      <w:r w:rsidR="003B7F32">
        <w:fldChar w:fldCharType="begin"/>
      </w:r>
      <w:r w:rsidR="003B7F32">
        <w:instrText xml:space="preserve"> PAGEREF _Toc478990066 \h </w:instrText>
      </w:r>
      <w:r w:rsidR="003B7F32">
        <w:fldChar w:fldCharType="separate"/>
      </w:r>
      <w:r w:rsidR="003B7F32">
        <w:t>2</w:t>
      </w:r>
      <w:r w:rsidR="003B7F32">
        <w:fldChar w:fldCharType="end"/>
      </w:r>
    </w:p>
    <w:p w:rsidR="003B7F32" w:rsidRDefault="003B7F32">
      <w:pPr>
        <w:pStyle w:val="TOC1"/>
        <w:rPr>
          <w:rFonts w:asciiTheme="minorHAnsi" w:eastAsiaTheme="minorEastAsia" w:hAnsiTheme="minorHAnsi" w:cstheme="minorBidi"/>
          <w:b w:val="0"/>
          <w:caps w:val="0"/>
          <w:sz w:val="22"/>
          <w:szCs w:val="22"/>
          <w:lang w:eastAsia="en-GB"/>
        </w:rPr>
      </w:pPr>
      <w:r>
        <w:t>1</w:t>
      </w:r>
      <w:r>
        <w:rPr>
          <w:rFonts w:asciiTheme="minorHAnsi" w:eastAsiaTheme="minorEastAsia" w:hAnsiTheme="minorHAnsi" w:cstheme="minorBidi"/>
          <w:b w:val="0"/>
          <w:caps w:val="0"/>
          <w:sz w:val="22"/>
          <w:szCs w:val="22"/>
          <w:lang w:eastAsia="en-GB"/>
        </w:rPr>
        <w:tab/>
      </w:r>
      <w:r>
        <w:t>introduction</w:t>
      </w:r>
      <w:r>
        <w:tab/>
      </w:r>
      <w:r>
        <w:fldChar w:fldCharType="begin"/>
      </w:r>
      <w:r>
        <w:instrText xml:space="preserve"> PAGEREF _Toc478990067 \h </w:instrText>
      </w:r>
      <w:r>
        <w:fldChar w:fldCharType="separate"/>
      </w:r>
      <w:r>
        <w:t>3</w:t>
      </w:r>
      <w:r>
        <w:fldChar w:fldCharType="end"/>
      </w:r>
    </w:p>
    <w:p w:rsidR="003B7F32" w:rsidRDefault="003B7F32">
      <w:pPr>
        <w:pStyle w:val="TOC2"/>
        <w:tabs>
          <w:tab w:val="left" w:pos="720"/>
        </w:tabs>
        <w:rPr>
          <w:rFonts w:asciiTheme="minorHAnsi" w:eastAsiaTheme="minorEastAsia" w:hAnsiTheme="minorHAnsi" w:cstheme="minorBidi"/>
          <w:sz w:val="22"/>
          <w:szCs w:val="22"/>
          <w:lang w:eastAsia="en-GB"/>
        </w:rPr>
      </w:pPr>
      <w:r>
        <w:t>1.1</w:t>
      </w:r>
      <w:r>
        <w:rPr>
          <w:rFonts w:asciiTheme="minorHAnsi" w:eastAsiaTheme="minorEastAsia" w:hAnsiTheme="minorHAnsi" w:cstheme="minorBidi"/>
          <w:sz w:val="22"/>
          <w:szCs w:val="22"/>
          <w:lang w:eastAsia="en-GB"/>
        </w:rPr>
        <w:tab/>
      </w:r>
      <w:r>
        <w:t>Identification of the relevant physics</w:t>
      </w:r>
      <w:r>
        <w:tab/>
      </w:r>
      <w:r>
        <w:fldChar w:fldCharType="begin"/>
      </w:r>
      <w:r>
        <w:instrText xml:space="preserve"> PAGEREF _Toc478990068 \h </w:instrText>
      </w:r>
      <w:r>
        <w:fldChar w:fldCharType="separate"/>
      </w:r>
      <w:r>
        <w:t>3</w:t>
      </w:r>
      <w:r>
        <w:fldChar w:fldCharType="end"/>
      </w:r>
    </w:p>
    <w:p w:rsidR="003B7F32" w:rsidRDefault="003B7F32">
      <w:pPr>
        <w:pStyle w:val="TOC2"/>
        <w:tabs>
          <w:tab w:val="left" w:pos="720"/>
        </w:tabs>
        <w:rPr>
          <w:rFonts w:asciiTheme="minorHAnsi" w:eastAsiaTheme="minorEastAsia" w:hAnsiTheme="minorHAnsi" w:cstheme="minorBidi"/>
          <w:sz w:val="22"/>
          <w:szCs w:val="22"/>
          <w:lang w:eastAsia="en-GB"/>
        </w:rPr>
      </w:pPr>
      <w:r>
        <w:t>1.2</w:t>
      </w:r>
      <w:r>
        <w:rPr>
          <w:rFonts w:asciiTheme="minorHAnsi" w:eastAsiaTheme="minorEastAsia" w:hAnsiTheme="minorHAnsi" w:cstheme="minorBidi"/>
          <w:sz w:val="22"/>
          <w:szCs w:val="22"/>
          <w:lang w:eastAsia="en-GB"/>
        </w:rPr>
        <w:tab/>
      </w:r>
      <w:r>
        <w:t>Building a numerical model</w:t>
      </w:r>
      <w:r>
        <w:tab/>
      </w:r>
      <w:r>
        <w:fldChar w:fldCharType="begin"/>
      </w:r>
      <w:r>
        <w:instrText xml:space="preserve"> PAGEREF _Toc478990069 \h </w:instrText>
      </w:r>
      <w:r>
        <w:fldChar w:fldCharType="separate"/>
      </w:r>
      <w:r>
        <w:t>4</w:t>
      </w:r>
      <w:r>
        <w:fldChar w:fldCharType="end"/>
      </w:r>
    </w:p>
    <w:p w:rsidR="003B7F32" w:rsidRDefault="003B7F32">
      <w:pPr>
        <w:pStyle w:val="TOC1"/>
        <w:rPr>
          <w:rFonts w:asciiTheme="minorHAnsi" w:eastAsiaTheme="minorEastAsia" w:hAnsiTheme="minorHAnsi" w:cstheme="minorBidi"/>
          <w:b w:val="0"/>
          <w:caps w:val="0"/>
          <w:sz w:val="22"/>
          <w:szCs w:val="22"/>
          <w:lang w:eastAsia="en-GB"/>
        </w:rPr>
      </w:pPr>
      <w:r>
        <w:t>2</w:t>
      </w:r>
      <w:r>
        <w:rPr>
          <w:rFonts w:asciiTheme="minorHAnsi" w:eastAsiaTheme="minorEastAsia" w:hAnsiTheme="minorHAnsi" w:cstheme="minorBidi"/>
          <w:b w:val="0"/>
          <w:caps w:val="0"/>
          <w:sz w:val="22"/>
          <w:szCs w:val="22"/>
          <w:lang w:eastAsia="en-GB"/>
        </w:rPr>
        <w:tab/>
      </w:r>
      <w:r>
        <w:t>historical overview of pool loops CFD modelling: the CRS4 experience and viewpoint</w:t>
      </w:r>
      <w:r>
        <w:tab/>
      </w:r>
      <w:r>
        <w:fldChar w:fldCharType="begin"/>
      </w:r>
      <w:r>
        <w:instrText xml:space="preserve"> PAGEREF _Toc478990070 \h </w:instrText>
      </w:r>
      <w:r>
        <w:fldChar w:fldCharType="separate"/>
      </w:r>
      <w:r>
        <w:t>5</w:t>
      </w:r>
      <w:r>
        <w:fldChar w:fldCharType="end"/>
      </w:r>
    </w:p>
    <w:p w:rsidR="003B7F32" w:rsidRDefault="003B7F32">
      <w:pPr>
        <w:pStyle w:val="TOC2"/>
        <w:tabs>
          <w:tab w:val="left" w:pos="720"/>
        </w:tabs>
        <w:rPr>
          <w:rFonts w:asciiTheme="minorHAnsi" w:eastAsiaTheme="minorEastAsia" w:hAnsiTheme="minorHAnsi" w:cstheme="minorBidi"/>
          <w:sz w:val="22"/>
          <w:szCs w:val="22"/>
          <w:lang w:eastAsia="en-GB"/>
        </w:rPr>
      </w:pPr>
      <w:r>
        <w:t>2.1</w:t>
      </w:r>
      <w:r>
        <w:rPr>
          <w:rFonts w:asciiTheme="minorHAnsi" w:eastAsiaTheme="minorEastAsia" w:hAnsiTheme="minorHAnsi" w:cstheme="minorBidi"/>
          <w:sz w:val="22"/>
          <w:szCs w:val="22"/>
          <w:lang w:eastAsia="en-GB"/>
        </w:rPr>
        <w:tab/>
      </w:r>
      <w:r>
        <w:t>A window type spallation target for the “Energy Amplifier” (CRS4, 2000)</w:t>
      </w:r>
      <w:r>
        <w:tab/>
      </w:r>
      <w:r>
        <w:fldChar w:fldCharType="begin"/>
      </w:r>
      <w:r>
        <w:instrText xml:space="preserve"> PAGEREF _Toc478990071 \h </w:instrText>
      </w:r>
      <w:r>
        <w:fldChar w:fldCharType="separate"/>
      </w:r>
      <w:r>
        <w:t>6</w:t>
      </w:r>
      <w:r>
        <w:fldChar w:fldCharType="end"/>
      </w:r>
    </w:p>
    <w:p w:rsidR="003B7F32" w:rsidRDefault="003B7F32">
      <w:pPr>
        <w:pStyle w:val="TOC2"/>
        <w:tabs>
          <w:tab w:val="left" w:pos="720"/>
        </w:tabs>
        <w:rPr>
          <w:rFonts w:asciiTheme="minorHAnsi" w:eastAsiaTheme="minorEastAsia" w:hAnsiTheme="minorHAnsi" w:cstheme="minorBidi"/>
          <w:sz w:val="22"/>
          <w:szCs w:val="22"/>
          <w:lang w:eastAsia="en-GB"/>
        </w:rPr>
      </w:pPr>
      <w:r>
        <w:t>2.2</w:t>
      </w:r>
      <w:r>
        <w:rPr>
          <w:rFonts w:asciiTheme="minorHAnsi" w:eastAsiaTheme="minorEastAsia" w:hAnsiTheme="minorHAnsi" w:cstheme="minorBidi"/>
          <w:sz w:val="22"/>
          <w:szCs w:val="22"/>
          <w:lang w:eastAsia="en-GB"/>
        </w:rPr>
        <w:tab/>
      </w:r>
      <w:r>
        <w:t>EADF: “Energy Amplifier Demonstration Facility” down-comer (2000, CRS4)</w:t>
      </w:r>
      <w:r>
        <w:tab/>
      </w:r>
      <w:r>
        <w:fldChar w:fldCharType="begin"/>
      </w:r>
      <w:r>
        <w:instrText xml:space="preserve"> PAGEREF _Toc478990072 \h </w:instrText>
      </w:r>
      <w:r>
        <w:fldChar w:fldCharType="separate"/>
      </w:r>
      <w:r>
        <w:t>8</w:t>
      </w:r>
      <w:r>
        <w:fldChar w:fldCharType="end"/>
      </w:r>
    </w:p>
    <w:p w:rsidR="003B7F32" w:rsidRDefault="003B7F32">
      <w:pPr>
        <w:pStyle w:val="TOC2"/>
        <w:tabs>
          <w:tab w:val="left" w:pos="720"/>
        </w:tabs>
        <w:rPr>
          <w:rFonts w:asciiTheme="minorHAnsi" w:eastAsiaTheme="minorEastAsia" w:hAnsiTheme="minorHAnsi" w:cstheme="minorBidi"/>
          <w:sz w:val="22"/>
          <w:szCs w:val="22"/>
          <w:lang w:eastAsia="en-GB"/>
        </w:rPr>
      </w:pPr>
      <w:r>
        <w:t>2.3</w:t>
      </w:r>
      <w:r>
        <w:rPr>
          <w:rFonts w:asciiTheme="minorHAnsi" w:eastAsiaTheme="minorEastAsia" w:hAnsiTheme="minorHAnsi" w:cstheme="minorBidi"/>
          <w:sz w:val="22"/>
          <w:szCs w:val="22"/>
          <w:lang w:eastAsia="en-GB"/>
        </w:rPr>
        <w:tab/>
      </w:r>
      <w:r>
        <w:t>EFIT: “European Facility for Industrial Transmutation” (2005-2010);</w:t>
      </w:r>
      <w:r>
        <w:tab/>
      </w:r>
      <w:r>
        <w:fldChar w:fldCharType="begin"/>
      </w:r>
      <w:r>
        <w:instrText xml:space="preserve"> PAGEREF _Toc478990073 \h </w:instrText>
      </w:r>
      <w:r>
        <w:fldChar w:fldCharType="separate"/>
      </w:r>
      <w:r>
        <w:t>10</w:t>
      </w:r>
      <w:r>
        <w:fldChar w:fldCharType="end"/>
      </w:r>
    </w:p>
    <w:p w:rsidR="003B7F32" w:rsidRDefault="003B7F32">
      <w:pPr>
        <w:pStyle w:val="TOC3"/>
        <w:rPr>
          <w:rFonts w:asciiTheme="minorHAnsi" w:eastAsiaTheme="minorEastAsia" w:hAnsiTheme="minorHAnsi" w:cstheme="minorBidi"/>
          <w:szCs w:val="22"/>
          <w:lang w:eastAsia="en-GB"/>
        </w:rPr>
      </w:pPr>
      <w:r>
        <w:t>2.3.1</w:t>
      </w:r>
      <w:r>
        <w:rPr>
          <w:rFonts w:asciiTheme="minorHAnsi" w:eastAsiaTheme="minorEastAsia" w:hAnsiTheme="minorHAnsi" w:cstheme="minorBidi"/>
          <w:szCs w:val="22"/>
          <w:lang w:eastAsia="en-GB"/>
        </w:rPr>
        <w:tab/>
      </w:r>
      <w:r>
        <w:t>EFIT hot plenum</w:t>
      </w:r>
      <w:r>
        <w:tab/>
      </w:r>
      <w:r>
        <w:fldChar w:fldCharType="begin"/>
      </w:r>
      <w:r>
        <w:instrText xml:space="preserve"> PAGEREF _Toc478990074 \h </w:instrText>
      </w:r>
      <w:r>
        <w:fldChar w:fldCharType="separate"/>
      </w:r>
      <w:r>
        <w:t>10</w:t>
      </w:r>
      <w:r>
        <w:fldChar w:fldCharType="end"/>
      </w:r>
    </w:p>
    <w:p w:rsidR="003B7F32" w:rsidRDefault="003B7F32">
      <w:pPr>
        <w:pStyle w:val="TOC3"/>
        <w:rPr>
          <w:rFonts w:asciiTheme="minorHAnsi" w:eastAsiaTheme="minorEastAsia" w:hAnsiTheme="minorHAnsi" w:cstheme="minorBidi"/>
          <w:szCs w:val="22"/>
          <w:lang w:eastAsia="en-GB"/>
        </w:rPr>
      </w:pPr>
      <w:r>
        <w:t>2.3.2</w:t>
      </w:r>
      <w:r>
        <w:rPr>
          <w:rFonts w:asciiTheme="minorHAnsi" w:eastAsiaTheme="minorEastAsia" w:hAnsiTheme="minorHAnsi" w:cstheme="minorBidi"/>
          <w:szCs w:val="22"/>
          <w:lang w:eastAsia="en-GB"/>
        </w:rPr>
        <w:tab/>
      </w:r>
      <w:r>
        <w:t>EFIT core bottom</w:t>
      </w:r>
      <w:r>
        <w:tab/>
      </w:r>
      <w:r>
        <w:fldChar w:fldCharType="begin"/>
      </w:r>
      <w:r>
        <w:instrText xml:space="preserve"> PAGEREF _Toc478990075 \h </w:instrText>
      </w:r>
      <w:r>
        <w:fldChar w:fldCharType="separate"/>
      </w:r>
      <w:r>
        <w:t>11</w:t>
      </w:r>
      <w:r>
        <w:fldChar w:fldCharType="end"/>
      </w:r>
    </w:p>
    <w:p w:rsidR="003B7F32" w:rsidRDefault="003B7F32">
      <w:pPr>
        <w:pStyle w:val="TOC3"/>
        <w:rPr>
          <w:rFonts w:asciiTheme="minorHAnsi" w:eastAsiaTheme="minorEastAsia" w:hAnsiTheme="minorHAnsi" w:cstheme="minorBidi"/>
          <w:szCs w:val="22"/>
          <w:lang w:eastAsia="en-GB"/>
        </w:rPr>
      </w:pPr>
      <w:r>
        <w:t>2.3.3</w:t>
      </w:r>
      <w:r>
        <w:rPr>
          <w:rFonts w:asciiTheme="minorHAnsi" w:eastAsiaTheme="minorEastAsia" w:hAnsiTheme="minorHAnsi" w:cstheme="minorBidi"/>
          <w:szCs w:val="22"/>
          <w:lang w:eastAsia="en-GB"/>
        </w:rPr>
        <w:tab/>
      </w:r>
      <w:r>
        <w:t>EFIT Outer plenum</w:t>
      </w:r>
      <w:r>
        <w:tab/>
      </w:r>
      <w:r>
        <w:fldChar w:fldCharType="begin"/>
      </w:r>
      <w:r>
        <w:instrText xml:space="preserve"> PAGEREF _Toc478990076 \h </w:instrText>
      </w:r>
      <w:r>
        <w:fldChar w:fldCharType="separate"/>
      </w:r>
      <w:r>
        <w:t>12</w:t>
      </w:r>
      <w:r>
        <w:fldChar w:fldCharType="end"/>
      </w:r>
    </w:p>
    <w:p w:rsidR="003B7F32" w:rsidRDefault="003B7F32">
      <w:pPr>
        <w:pStyle w:val="TOC3"/>
        <w:rPr>
          <w:rFonts w:asciiTheme="minorHAnsi" w:eastAsiaTheme="minorEastAsia" w:hAnsiTheme="minorHAnsi" w:cstheme="minorBidi"/>
          <w:szCs w:val="22"/>
          <w:lang w:eastAsia="en-GB"/>
        </w:rPr>
      </w:pPr>
      <w:r>
        <w:t>2.3.4</w:t>
      </w:r>
      <w:r>
        <w:rPr>
          <w:rFonts w:asciiTheme="minorHAnsi" w:eastAsiaTheme="minorEastAsia" w:hAnsiTheme="minorHAnsi" w:cstheme="minorBidi"/>
          <w:szCs w:val="22"/>
          <w:lang w:eastAsia="en-GB"/>
        </w:rPr>
        <w:tab/>
      </w:r>
      <w:r>
        <w:t>EFIT outcome</w:t>
      </w:r>
      <w:r>
        <w:tab/>
      </w:r>
      <w:r>
        <w:fldChar w:fldCharType="begin"/>
      </w:r>
      <w:r>
        <w:instrText xml:space="preserve"> PAGEREF _Toc478990077 \h </w:instrText>
      </w:r>
      <w:r>
        <w:fldChar w:fldCharType="separate"/>
      </w:r>
      <w:r>
        <w:t>13</w:t>
      </w:r>
      <w:r>
        <w:fldChar w:fldCharType="end"/>
      </w:r>
    </w:p>
    <w:p w:rsidR="003B7F32" w:rsidRDefault="003B7F32">
      <w:pPr>
        <w:pStyle w:val="TOC2"/>
        <w:tabs>
          <w:tab w:val="left" w:pos="720"/>
        </w:tabs>
        <w:rPr>
          <w:rFonts w:asciiTheme="minorHAnsi" w:eastAsiaTheme="minorEastAsia" w:hAnsiTheme="minorHAnsi" w:cstheme="minorBidi"/>
          <w:sz w:val="22"/>
          <w:szCs w:val="22"/>
          <w:lang w:eastAsia="en-GB"/>
        </w:rPr>
      </w:pPr>
      <w:r>
        <w:t>2.4</w:t>
      </w:r>
      <w:r>
        <w:rPr>
          <w:rFonts w:asciiTheme="minorHAnsi" w:eastAsiaTheme="minorEastAsia" w:hAnsiTheme="minorHAnsi" w:cstheme="minorBidi"/>
          <w:sz w:val="22"/>
          <w:szCs w:val="22"/>
          <w:lang w:eastAsia="en-GB"/>
        </w:rPr>
        <w:tab/>
      </w:r>
      <w:r>
        <w:t>XT-ADS: “eXperimeTal ADS”</w:t>
      </w:r>
      <w:r>
        <w:tab/>
      </w:r>
      <w:r>
        <w:fldChar w:fldCharType="begin"/>
      </w:r>
      <w:r>
        <w:instrText xml:space="preserve"> PAGEREF _Toc478990078 \h </w:instrText>
      </w:r>
      <w:r>
        <w:fldChar w:fldCharType="separate"/>
      </w:r>
      <w:r>
        <w:t>13</w:t>
      </w:r>
      <w:r>
        <w:fldChar w:fldCharType="end"/>
      </w:r>
    </w:p>
    <w:p w:rsidR="003B7F32" w:rsidRDefault="003B7F32">
      <w:pPr>
        <w:pStyle w:val="TOC2"/>
        <w:tabs>
          <w:tab w:val="left" w:pos="720"/>
        </w:tabs>
        <w:rPr>
          <w:rFonts w:asciiTheme="minorHAnsi" w:eastAsiaTheme="minorEastAsia" w:hAnsiTheme="minorHAnsi" w:cstheme="minorBidi"/>
          <w:sz w:val="22"/>
          <w:szCs w:val="22"/>
          <w:lang w:eastAsia="en-GB"/>
        </w:rPr>
      </w:pPr>
      <w:r>
        <w:t>2.5</w:t>
      </w:r>
      <w:r>
        <w:rPr>
          <w:rFonts w:asciiTheme="minorHAnsi" w:eastAsiaTheme="minorEastAsia" w:hAnsiTheme="minorHAnsi" w:cstheme="minorBidi"/>
          <w:sz w:val="22"/>
          <w:szCs w:val="22"/>
          <w:lang w:eastAsia="en-GB"/>
        </w:rPr>
        <w:tab/>
      </w:r>
      <w:r>
        <w:t>FASTEF: “Fast-Spectrum Transmutation Experimental Facility”</w:t>
      </w:r>
      <w:r>
        <w:tab/>
      </w:r>
      <w:r>
        <w:fldChar w:fldCharType="begin"/>
      </w:r>
      <w:r>
        <w:instrText xml:space="preserve"> PAGEREF _Toc478990079 \h </w:instrText>
      </w:r>
      <w:r>
        <w:fldChar w:fldCharType="separate"/>
      </w:r>
      <w:r>
        <w:t>15</w:t>
      </w:r>
      <w:r>
        <w:fldChar w:fldCharType="end"/>
      </w:r>
    </w:p>
    <w:p w:rsidR="003B7F32" w:rsidRDefault="003B7F32">
      <w:pPr>
        <w:pStyle w:val="TOC1"/>
        <w:rPr>
          <w:rFonts w:asciiTheme="minorHAnsi" w:eastAsiaTheme="minorEastAsia" w:hAnsiTheme="minorHAnsi" w:cstheme="minorBidi"/>
          <w:b w:val="0"/>
          <w:caps w:val="0"/>
          <w:sz w:val="22"/>
          <w:szCs w:val="22"/>
          <w:lang w:eastAsia="en-GB"/>
        </w:rPr>
      </w:pPr>
      <w:r>
        <w:t>3</w:t>
      </w:r>
      <w:r>
        <w:rPr>
          <w:rFonts w:asciiTheme="minorHAnsi" w:eastAsiaTheme="minorEastAsia" w:hAnsiTheme="minorHAnsi" w:cstheme="minorBidi"/>
          <w:b w:val="0"/>
          <w:caps w:val="0"/>
          <w:sz w:val="22"/>
          <w:szCs w:val="22"/>
          <w:lang w:eastAsia="en-GB"/>
        </w:rPr>
        <w:tab/>
      </w:r>
      <w:r>
        <w:t>CFD Models of MYRRHA</w:t>
      </w:r>
      <w:r>
        <w:tab/>
      </w:r>
      <w:r>
        <w:fldChar w:fldCharType="begin"/>
      </w:r>
      <w:r>
        <w:instrText xml:space="preserve"> PAGEREF _Toc478990080 \h </w:instrText>
      </w:r>
      <w:r>
        <w:fldChar w:fldCharType="separate"/>
      </w:r>
      <w:r>
        <w:t>16</w:t>
      </w:r>
      <w:r>
        <w:fldChar w:fldCharType="end"/>
      </w:r>
    </w:p>
    <w:p w:rsidR="003B7F32" w:rsidRDefault="003B7F32">
      <w:pPr>
        <w:pStyle w:val="TOC2"/>
        <w:tabs>
          <w:tab w:val="left" w:pos="720"/>
        </w:tabs>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SEARCH: ”Safe ExploitAtion Related Chemistry for HLM reactors” (2011-2015)</w:t>
      </w:r>
      <w:r>
        <w:tab/>
      </w:r>
      <w:r>
        <w:fldChar w:fldCharType="begin"/>
      </w:r>
      <w:r>
        <w:instrText xml:space="preserve"> PAGEREF _Toc478990081 \h </w:instrText>
      </w:r>
      <w:r>
        <w:fldChar w:fldCharType="separate"/>
      </w:r>
      <w:r>
        <w:t>16</w:t>
      </w:r>
      <w:r>
        <w:fldChar w:fldCharType="end"/>
      </w:r>
    </w:p>
    <w:p w:rsidR="003B7F32" w:rsidRDefault="003B7F32">
      <w:pPr>
        <w:pStyle w:val="TOC2"/>
        <w:tabs>
          <w:tab w:val="left" w:pos="720"/>
        </w:tabs>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The MYRRHA CFD model by CRS4</w:t>
      </w:r>
      <w:r>
        <w:tab/>
      </w:r>
      <w:r>
        <w:fldChar w:fldCharType="begin"/>
      </w:r>
      <w:r>
        <w:instrText xml:space="preserve"> PAGEREF _Toc478990082 \h </w:instrText>
      </w:r>
      <w:r>
        <w:fldChar w:fldCharType="separate"/>
      </w:r>
      <w:r>
        <w:t>17</w:t>
      </w:r>
      <w:r>
        <w:fldChar w:fldCharType="end"/>
      </w:r>
    </w:p>
    <w:p w:rsidR="003B7F32" w:rsidRDefault="003B7F32">
      <w:pPr>
        <w:pStyle w:val="TOC2"/>
        <w:tabs>
          <w:tab w:val="left" w:pos="720"/>
        </w:tabs>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The MYRRHA CFD model by VKI</w:t>
      </w:r>
      <w:r>
        <w:tab/>
      </w:r>
      <w:r>
        <w:fldChar w:fldCharType="begin"/>
      </w:r>
      <w:r>
        <w:instrText xml:space="preserve"> PAGEREF _Toc478990083 \h </w:instrText>
      </w:r>
      <w:r>
        <w:fldChar w:fldCharType="separate"/>
      </w:r>
      <w:r>
        <w:t>19</w:t>
      </w:r>
      <w:r>
        <w:fldChar w:fldCharType="end"/>
      </w:r>
    </w:p>
    <w:p w:rsidR="003B7F32" w:rsidRDefault="003B7F32">
      <w:pPr>
        <w:pStyle w:val="TOC3"/>
        <w:rPr>
          <w:rFonts w:asciiTheme="minorHAnsi" w:eastAsiaTheme="minorEastAsia" w:hAnsiTheme="minorHAnsi" w:cstheme="minorBidi"/>
          <w:szCs w:val="22"/>
          <w:lang w:eastAsia="en-GB"/>
        </w:rPr>
      </w:pPr>
      <w:r>
        <w:t>3.3.1</w:t>
      </w:r>
      <w:r>
        <w:rPr>
          <w:rFonts w:asciiTheme="minorHAnsi" w:eastAsiaTheme="minorEastAsia" w:hAnsiTheme="minorHAnsi" w:cstheme="minorBidi"/>
          <w:szCs w:val="22"/>
          <w:lang w:eastAsia="en-GB"/>
        </w:rPr>
        <w:tab/>
      </w:r>
      <w:r>
        <w:t>Approach for pump simulation</w:t>
      </w:r>
      <w:r>
        <w:tab/>
      </w:r>
      <w:r>
        <w:fldChar w:fldCharType="begin"/>
      </w:r>
      <w:r>
        <w:instrText xml:space="preserve"> PAGEREF _Toc478990084 \h </w:instrText>
      </w:r>
      <w:r>
        <w:fldChar w:fldCharType="separate"/>
      </w:r>
      <w:r>
        <w:t>20</w:t>
      </w:r>
      <w:r>
        <w:fldChar w:fldCharType="end"/>
      </w:r>
    </w:p>
    <w:p w:rsidR="003B7F32" w:rsidRDefault="003B7F32">
      <w:pPr>
        <w:pStyle w:val="TOC3"/>
        <w:rPr>
          <w:rFonts w:asciiTheme="minorHAnsi" w:eastAsiaTheme="minorEastAsia" w:hAnsiTheme="minorHAnsi" w:cstheme="minorBidi"/>
          <w:szCs w:val="22"/>
          <w:lang w:eastAsia="en-GB"/>
        </w:rPr>
      </w:pPr>
      <w:r>
        <w:t>3.3.2</w:t>
      </w:r>
      <w:r>
        <w:rPr>
          <w:rFonts w:asciiTheme="minorHAnsi" w:eastAsiaTheme="minorEastAsia" w:hAnsiTheme="minorHAnsi" w:cstheme="minorBidi"/>
          <w:szCs w:val="22"/>
          <w:lang w:eastAsia="en-GB"/>
        </w:rPr>
        <w:tab/>
      </w:r>
      <w:r>
        <w:t>Porous media approach in the core</w:t>
      </w:r>
      <w:r>
        <w:tab/>
      </w:r>
      <w:r>
        <w:fldChar w:fldCharType="begin"/>
      </w:r>
      <w:r>
        <w:instrText xml:space="preserve"> PAGEREF _Toc478990085 \h </w:instrText>
      </w:r>
      <w:r>
        <w:fldChar w:fldCharType="separate"/>
      </w:r>
      <w:r>
        <w:t>21</w:t>
      </w:r>
      <w:r>
        <w:fldChar w:fldCharType="end"/>
      </w:r>
    </w:p>
    <w:p w:rsidR="003B7F32" w:rsidRDefault="003B7F32">
      <w:pPr>
        <w:pStyle w:val="TOC3"/>
        <w:rPr>
          <w:rFonts w:asciiTheme="minorHAnsi" w:eastAsiaTheme="minorEastAsia" w:hAnsiTheme="minorHAnsi" w:cstheme="minorBidi"/>
          <w:szCs w:val="22"/>
          <w:lang w:eastAsia="en-GB"/>
        </w:rPr>
      </w:pPr>
      <w:r>
        <w:t>3.3.3</w:t>
      </w:r>
      <w:r>
        <w:rPr>
          <w:rFonts w:asciiTheme="minorHAnsi" w:eastAsiaTheme="minorEastAsia" w:hAnsiTheme="minorHAnsi" w:cstheme="minorBidi"/>
          <w:szCs w:val="22"/>
          <w:lang w:eastAsia="en-GB"/>
        </w:rPr>
        <w:tab/>
      </w:r>
      <w:r>
        <w:t>Barrel and above core structure simulation</w:t>
      </w:r>
      <w:r>
        <w:tab/>
      </w:r>
      <w:r>
        <w:fldChar w:fldCharType="begin"/>
      </w:r>
      <w:r>
        <w:instrText xml:space="preserve"> PAGEREF _Toc478990086 \h </w:instrText>
      </w:r>
      <w:r>
        <w:fldChar w:fldCharType="separate"/>
      </w:r>
      <w:r>
        <w:t>23</w:t>
      </w:r>
      <w:r>
        <w:fldChar w:fldCharType="end"/>
      </w:r>
    </w:p>
    <w:p w:rsidR="003B7F32" w:rsidRDefault="003B7F32">
      <w:pPr>
        <w:pStyle w:val="TOC3"/>
        <w:rPr>
          <w:rFonts w:asciiTheme="minorHAnsi" w:eastAsiaTheme="minorEastAsia" w:hAnsiTheme="minorHAnsi" w:cstheme="minorBidi"/>
          <w:szCs w:val="22"/>
          <w:lang w:eastAsia="en-GB"/>
        </w:rPr>
      </w:pPr>
      <w:r>
        <w:t>3.3.4</w:t>
      </w:r>
      <w:r>
        <w:rPr>
          <w:rFonts w:asciiTheme="minorHAnsi" w:eastAsiaTheme="minorEastAsia" w:hAnsiTheme="minorHAnsi" w:cstheme="minorBidi"/>
          <w:szCs w:val="22"/>
          <w:lang w:eastAsia="en-GB"/>
        </w:rPr>
        <w:tab/>
      </w:r>
      <w:r>
        <w:t>Porous media approach in the primary heat exchangers</w:t>
      </w:r>
      <w:r>
        <w:tab/>
      </w:r>
      <w:r>
        <w:fldChar w:fldCharType="begin"/>
      </w:r>
      <w:r>
        <w:instrText xml:space="preserve"> PAGEREF _Toc478990087 \h </w:instrText>
      </w:r>
      <w:r>
        <w:fldChar w:fldCharType="separate"/>
      </w:r>
      <w:r>
        <w:t>24</w:t>
      </w:r>
      <w:r>
        <w:fldChar w:fldCharType="end"/>
      </w:r>
    </w:p>
    <w:p w:rsidR="003B7F32" w:rsidRDefault="003B7F32">
      <w:pPr>
        <w:pStyle w:val="TOC3"/>
        <w:rPr>
          <w:rFonts w:asciiTheme="minorHAnsi" w:eastAsiaTheme="minorEastAsia" w:hAnsiTheme="minorHAnsi" w:cstheme="minorBidi"/>
          <w:szCs w:val="22"/>
          <w:lang w:eastAsia="en-GB"/>
        </w:rPr>
      </w:pPr>
      <w:r>
        <w:t>3.3.5</w:t>
      </w:r>
      <w:r>
        <w:rPr>
          <w:rFonts w:asciiTheme="minorHAnsi" w:eastAsiaTheme="minorEastAsia" w:hAnsiTheme="minorHAnsi" w:cstheme="minorBidi"/>
          <w:szCs w:val="22"/>
          <w:lang w:eastAsia="en-GB"/>
        </w:rPr>
        <w:tab/>
      </w:r>
      <w:r>
        <w:t>In Vessel Fuel Storage simulation</w:t>
      </w:r>
      <w:r>
        <w:tab/>
      </w:r>
      <w:r>
        <w:fldChar w:fldCharType="begin"/>
      </w:r>
      <w:r>
        <w:instrText xml:space="preserve"> PAGEREF _Toc478990088 \h </w:instrText>
      </w:r>
      <w:r>
        <w:fldChar w:fldCharType="separate"/>
      </w:r>
      <w:r>
        <w:t>25</w:t>
      </w:r>
      <w:r>
        <w:fldChar w:fldCharType="end"/>
      </w:r>
    </w:p>
    <w:p w:rsidR="003B7F32" w:rsidRDefault="003B7F32">
      <w:pPr>
        <w:pStyle w:val="TOC3"/>
        <w:rPr>
          <w:rFonts w:asciiTheme="minorHAnsi" w:eastAsiaTheme="minorEastAsia" w:hAnsiTheme="minorHAnsi" w:cstheme="minorBidi"/>
          <w:szCs w:val="22"/>
          <w:lang w:eastAsia="en-GB"/>
        </w:rPr>
      </w:pPr>
      <w:r>
        <w:t>3.3.6</w:t>
      </w:r>
      <w:r>
        <w:rPr>
          <w:rFonts w:asciiTheme="minorHAnsi" w:eastAsiaTheme="minorEastAsia" w:hAnsiTheme="minorHAnsi" w:cstheme="minorBidi"/>
          <w:szCs w:val="22"/>
          <w:lang w:eastAsia="en-GB"/>
        </w:rPr>
        <w:tab/>
      </w:r>
      <w:r>
        <w:t>Computational mesh</w:t>
      </w:r>
      <w:r>
        <w:tab/>
      </w:r>
      <w:r>
        <w:fldChar w:fldCharType="begin"/>
      </w:r>
      <w:r>
        <w:instrText xml:space="preserve"> PAGEREF _Toc478990089 \h </w:instrText>
      </w:r>
      <w:r>
        <w:fldChar w:fldCharType="separate"/>
      </w:r>
      <w:r>
        <w:t>26</w:t>
      </w:r>
      <w:r>
        <w:fldChar w:fldCharType="end"/>
      </w:r>
    </w:p>
    <w:p w:rsidR="003B7F32" w:rsidRDefault="003B7F32">
      <w:pPr>
        <w:pStyle w:val="TOC1"/>
        <w:rPr>
          <w:rFonts w:asciiTheme="minorHAnsi" w:eastAsiaTheme="minorEastAsia" w:hAnsiTheme="minorHAnsi" w:cstheme="minorBidi"/>
          <w:b w:val="0"/>
          <w:caps w:val="0"/>
          <w:sz w:val="22"/>
          <w:szCs w:val="22"/>
          <w:lang w:eastAsia="en-GB"/>
        </w:rPr>
      </w:pPr>
      <w:r>
        <w:t>4</w:t>
      </w:r>
      <w:r>
        <w:rPr>
          <w:rFonts w:asciiTheme="minorHAnsi" w:eastAsiaTheme="minorEastAsia" w:hAnsiTheme="minorHAnsi" w:cstheme="minorBidi"/>
          <w:b w:val="0"/>
          <w:caps w:val="0"/>
          <w:sz w:val="22"/>
          <w:szCs w:val="22"/>
          <w:lang w:eastAsia="en-GB"/>
        </w:rPr>
        <w:tab/>
      </w:r>
      <w:r>
        <w:t>(U)RANS MYRRHA model for what?</w:t>
      </w:r>
      <w:r>
        <w:tab/>
      </w:r>
      <w:r>
        <w:fldChar w:fldCharType="begin"/>
      </w:r>
      <w:r>
        <w:instrText xml:space="preserve"> PAGEREF _Toc478990090 \h </w:instrText>
      </w:r>
      <w:r>
        <w:fldChar w:fldCharType="separate"/>
      </w:r>
      <w:r>
        <w:t>27</w:t>
      </w:r>
      <w:r>
        <w:fldChar w:fldCharType="end"/>
      </w:r>
    </w:p>
    <w:p w:rsidR="003B7F32" w:rsidRDefault="003B7F32">
      <w:pPr>
        <w:pStyle w:val="TOC2"/>
        <w:tabs>
          <w:tab w:val="left" w:pos="720"/>
        </w:tabs>
        <w:rPr>
          <w:rFonts w:asciiTheme="minorHAnsi" w:eastAsiaTheme="minorEastAsia" w:hAnsiTheme="minorHAnsi" w:cstheme="minorBidi"/>
          <w:sz w:val="22"/>
          <w:szCs w:val="22"/>
          <w:lang w:eastAsia="en-GB"/>
        </w:rPr>
      </w:pPr>
      <w:r>
        <w:t>4.1</w:t>
      </w:r>
      <w:r>
        <w:rPr>
          <w:rFonts w:asciiTheme="minorHAnsi" w:eastAsiaTheme="minorEastAsia" w:hAnsiTheme="minorHAnsi" w:cstheme="minorBidi"/>
          <w:sz w:val="22"/>
          <w:szCs w:val="22"/>
          <w:lang w:eastAsia="en-GB"/>
        </w:rPr>
        <w:tab/>
      </w:r>
      <w:r>
        <w:t>Looking at the flow and the thermal field under design nominal condition</w:t>
      </w:r>
      <w:r>
        <w:tab/>
      </w:r>
      <w:r>
        <w:fldChar w:fldCharType="begin"/>
      </w:r>
      <w:r>
        <w:instrText xml:space="preserve"> PAGEREF _Toc478990091 \h </w:instrText>
      </w:r>
      <w:r>
        <w:fldChar w:fldCharType="separate"/>
      </w:r>
      <w:r>
        <w:t>27</w:t>
      </w:r>
      <w:r>
        <w:fldChar w:fldCharType="end"/>
      </w:r>
    </w:p>
    <w:p w:rsidR="003B7F32" w:rsidRDefault="003B7F32">
      <w:pPr>
        <w:pStyle w:val="TOC3"/>
        <w:rPr>
          <w:rFonts w:asciiTheme="minorHAnsi" w:eastAsiaTheme="minorEastAsia" w:hAnsiTheme="minorHAnsi" w:cstheme="minorBidi"/>
          <w:szCs w:val="22"/>
          <w:lang w:eastAsia="en-GB"/>
        </w:rPr>
      </w:pPr>
      <w:r>
        <w:t>4.1.1</w:t>
      </w:r>
      <w:r>
        <w:rPr>
          <w:rFonts w:asciiTheme="minorHAnsi" w:eastAsiaTheme="minorEastAsia" w:hAnsiTheme="minorHAnsi" w:cstheme="minorBidi"/>
          <w:szCs w:val="22"/>
          <w:lang w:eastAsia="en-GB"/>
        </w:rPr>
        <w:tab/>
      </w:r>
      <w:r>
        <w:t>Looking at the flow field</w:t>
      </w:r>
      <w:r>
        <w:tab/>
      </w:r>
      <w:r>
        <w:fldChar w:fldCharType="begin"/>
      </w:r>
      <w:r>
        <w:instrText xml:space="preserve"> PAGEREF _Toc478990092 \h </w:instrText>
      </w:r>
      <w:r>
        <w:fldChar w:fldCharType="separate"/>
      </w:r>
      <w:r>
        <w:t>27</w:t>
      </w:r>
      <w:r>
        <w:fldChar w:fldCharType="end"/>
      </w:r>
    </w:p>
    <w:p w:rsidR="003B7F32" w:rsidRDefault="003B7F32">
      <w:pPr>
        <w:pStyle w:val="TOC3"/>
        <w:rPr>
          <w:rFonts w:asciiTheme="minorHAnsi" w:eastAsiaTheme="minorEastAsia" w:hAnsiTheme="minorHAnsi" w:cstheme="minorBidi"/>
          <w:szCs w:val="22"/>
          <w:lang w:eastAsia="en-GB"/>
        </w:rPr>
      </w:pPr>
      <w:r>
        <w:t>4.1.2</w:t>
      </w:r>
      <w:r>
        <w:rPr>
          <w:rFonts w:asciiTheme="minorHAnsi" w:eastAsiaTheme="minorEastAsia" w:hAnsiTheme="minorHAnsi" w:cstheme="minorBidi"/>
          <w:szCs w:val="22"/>
          <w:lang w:eastAsia="en-GB"/>
        </w:rPr>
        <w:tab/>
      </w:r>
      <w:r>
        <w:t>Looking at the thermal field</w:t>
      </w:r>
      <w:r>
        <w:tab/>
      </w:r>
      <w:r>
        <w:fldChar w:fldCharType="begin"/>
      </w:r>
      <w:r>
        <w:instrText xml:space="preserve"> PAGEREF _Toc478990093 \h </w:instrText>
      </w:r>
      <w:r>
        <w:fldChar w:fldCharType="separate"/>
      </w:r>
      <w:r>
        <w:t>28</w:t>
      </w:r>
      <w:r>
        <w:fldChar w:fldCharType="end"/>
      </w:r>
    </w:p>
    <w:p w:rsidR="003B7F32" w:rsidRDefault="003B7F32">
      <w:pPr>
        <w:pStyle w:val="TOC2"/>
        <w:tabs>
          <w:tab w:val="left" w:pos="720"/>
        </w:tabs>
        <w:rPr>
          <w:rFonts w:asciiTheme="minorHAnsi" w:eastAsiaTheme="minorEastAsia" w:hAnsiTheme="minorHAnsi" w:cstheme="minorBidi"/>
          <w:sz w:val="22"/>
          <w:szCs w:val="22"/>
          <w:lang w:eastAsia="en-GB"/>
        </w:rPr>
      </w:pPr>
      <w:r>
        <w:lastRenderedPageBreak/>
        <w:t>4.2</w:t>
      </w:r>
      <w:r>
        <w:rPr>
          <w:rFonts w:asciiTheme="minorHAnsi" w:eastAsiaTheme="minorEastAsia" w:hAnsiTheme="minorHAnsi" w:cstheme="minorBidi"/>
          <w:sz w:val="22"/>
          <w:szCs w:val="22"/>
          <w:lang w:eastAsia="en-GB"/>
        </w:rPr>
        <w:tab/>
      </w:r>
      <w:r>
        <w:t>Looking at the system and sub-systems characteristic times</w:t>
      </w:r>
      <w:r>
        <w:tab/>
      </w:r>
      <w:r>
        <w:fldChar w:fldCharType="begin"/>
      </w:r>
      <w:r>
        <w:instrText xml:space="preserve"> PAGEREF _Toc478990094 \h </w:instrText>
      </w:r>
      <w:r>
        <w:fldChar w:fldCharType="separate"/>
      </w:r>
      <w:r>
        <w:t>29</w:t>
      </w:r>
      <w:r>
        <w:fldChar w:fldCharType="end"/>
      </w:r>
    </w:p>
    <w:p w:rsidR="003B7F32" w:rsidRDefault="003B7F32">
      <w:pPr>
        <w:pStyle w:val="TOC3"/>
        <w:rPr>
          <w:rFonts w:asciiTheme="minorHAnsi" w:eastAsiaTheme="minorEastAsia" w:hAnsiTheme="minorHAnsi" w:cstheme="minorBidi"/>
          <w:szCs w:val="22"/>
          <w:lang w:eastAsia="en-GB"/>
        </w:rPr>
      </w:pPr>
      <w:r>
        <w:t>4.2.1</w:t>
      </w:r>
      <w:r>
        <w:rPr>
          <w:rFonts w:asciiTheme="minorHAnsi" w:eastAsiaTheme="minorEastAsia" w:hAnsiTheme="minorHAnsi" w:cstheme="minorBidi"/>
          <w:szCs w:val="22"/>
          <w:lang w:eastAsia="en-GB"/>
        </w:rPr>
        <w:tab/>
      </w:r>
      <w:r>
        <w:t>Local residence time</w:t>
      </w:r>
      <w:r>
        <w:tab/>
      </w:r>
      <w:r>
        <w:fldChar w:fldCharType="begin"/>
      </w:r>
      <w:r>
        <w:instrText xml:space="preserve"> PAGEREF _Toc478990095 \h </w:instrText>
      </w:r>
      <w:r>
        <w:fldChar w:fldCharType="separate"/>
      </w:r>
      <w:r>
        <w:t>29</w:t>
      </w:r>
      <w:r>
        <w:fldChar w:fldCharType="end"/>
      </w:r>
    </w:p>
    <w:p w:rsidR="003B7F32" w:rsidRDefault="003B7F32">
      <w:pPr>
        <w:pStyle w:val="TOC3"/>
        <w:rPr>
          <w:rFonts w:asciiTheme="minorHAnsi" w:eastAsiaTheme="minorEastAsia" w:hAnsiTheme="minorHAnsi" w:cstheme="minorBidi"/>
          <w:szCs w:val="22"/>
          <w:lang w:eastAsia="en-GB"/>
        </w:rPr>
      </w:pPr>
      <w:r>
        <w:t>4.2.2</w:t>
      </w:r>
      <w:r>
        <w:rPr>
          <w:rFonts w:asciiTheme="minorHAnsi" w:eastAsiaTheme="minorEastAsia" w:hAnsiTheme="minorHAnsi" w:cstheme="minorBidi"/>
          <w:szCs w:val="22"/>
          <w:lang w:eastAsia="en-GB"/>
        </w:rPr>
        <w:tab/>
      </w:r>
      <w:r>
        <w:t>Pollutant emission</w:t>
      </w:r>
      <w:r>
        <w:tab/>
      </w:r>
      <w:r>
        <w:fldChar w:fldCharType="begin"/>
      </w:r>
      <w:r>
        <w:instrText xml:space="preserve"> PAGEREF _Toc478990096 \h </w:instrText>
      </w:r>
      <w:r>
        <w:fldChar w:fldCharType="separate"/>
      </w:r>
      <w:r>
        <w:t>30</w:t>
      </w:r>
      <w:r>
        <w:fldChar w:fldCharType="end"/>
      </w:r>
    </w:p>
    <w:p w:rsidR="003B7F32" w:rsidRDefault="003B7F32">
      <w:pPr>
        <w:pStyle w:val="TOC3"/>
        <w:rPr>
          <w:rFonts w:asciiTheme="minorHAnsi" w:eastAsiaTheme="minorEastAsia" w:hAnsiTheme="minorHAnsi" w:cstheme="minorBidi"/>
          <w:szCs w:val="22"/>
          <w:lang w:eastAsia="en-GB"/>
        </w:rPr>
      </w:pPr>
      <w:r>
        <w:t>4.2.3</w:t>
      </w:r>
      <w:r>
        <w:rPr>
          <w:rFonts w:asciiTheme="minorHAnsi" w:eastAsiaTheme="minorEastAsia" w:hAnsiTheme="minorHAnsi" w:cstheme="minorBidi"/>
          <w:szCs w:val="22"/>
          <w:lang w:eastAsia="en-GB"/>
        </w:rPr>
        <w:tab/>
      </w:r>
      <w:r>
        <w:t>Lagrangian particulate</w:t>
      </w:r>
      <w:r>
        <w:tab/>
      </w:r>
      <w:r>
        <w:fldChar w:fldCharType="begin"/>
      </w:r>
      <w:r>
        <w:instrText xml:space="preserve"> PAGEREF _Toc478990097 \h </w:instrText>
      </w:r>
      <w:r>
        <w:fldChar w:fldCharType="separate"/>
      </w:r>
      <w:r>
        <w:t>31</w:t>
      </w:r>
      <w:r>
        <w:fldChar w:fldCharType="end"/>
      </w:r>
    </w:p>
    <w:p w:rsidR="003B7F32" w:rsidRDefault="003B7F32">
      <w:pPr>
        <w:pStyle w:val="TOC2"/>
        <w:tabs>
          <w:tab w:val="left" w:pos="720"/>
        </w:tabs>
        <w:rPr>
          <w:rFonts w:asciiTheme="minorHAnsi" w:eastAsiaTheme="minorEastAsia" w:hAnsiTheme="minorHAnsi" w:cstheme="minorBidi"/>
          <w:sz w:val="22"/>
          <w:szCs w:val="22"/>
          <w:lang w:eastAsia="en-GB"/>
        </w:rPr>
      </w:pPr>
      <w:r>
        <w:t>4.3</w:t>
      </w:r>
      <w:r>
        <w:rPr>
          <w:rFonts w:asciiTheme="minorHAnsi" w:eastAsiaTheme="minorEastAsia" w:hAnsiTheme="minorHAnsi" w:cstheme="minorBidi"/>
          <w:sz w:val="22"/>
          <w:szCs w:val="22"/>
          <w:lang w:eastAsia="en-GB"/>
        </w:rPr>
        <w:tab/>
      </w:r>
      <w:r>
        <w:t>Beyond simple illustrations</w:t>
      </w:r>
      <w:r>
        <w:tab/>
      </w:r>
      <w:r>
        <w:fldChar w:fldCharType="begin"/>
      </w:r>
      <w:r>
        <w:instrText xml:space="preserve"> PAGEREF _Toc478990098 \h </w:instrText>
      </w:r>
      <w:r>
        <w:fldChar w:fldCharType="separate"/>
      </w:r>
      <w:r>
        <w:t>32</w:t>
      </w:r>
      <w:r>
        <w:fldChar w:fldCharType="end"/>
      </w:r>
    </w:p>
    <w:p w:rsidR="003B7F32" w:rsidRDefault="003B7F32">
      <w:pPr>
        <w:pStyle w:val="TOC1"/>
        <w:rPr>
          <w:rFonts w:asciiTheme="minorHAnsi" w:eastAsiaTheme="minorEastAsia" w:hAnsiTheme="minorHAnsi" w:cstheme="minorBidi"/>
          <w:b w:val="0"/>
          <w:caps w:val="0"/>
          <w:sz w:val="22"/>
          <w:szCs w:val="22"/>
          <w:lang w:eastAsia="en-GB"/>
        </w:rPr>
      </w:pPr>
      <w:r>
        <w:t>5</w:t>
      </w:r>
      <w:r>
        <w:rPr>
          <w:rFonts w:asciiTheme="minorHAnsi" w:eastAsiaTheme="minorEastAsia" w:hAnsiTheme="minorHAnsi" w:cstheme="minorBidi"/>
          <w:b w:val="0"/>
          <w:caps w:val="0"/>
          <w:sz w:val="22"/>
          <w:szCs w:val="22"/>
          <w:lang w:eastAsia="en-GB"/>
        </w:rPr>
        <w:tab/>
      </w:r>
      <w:r>
        <w:t>Numerical developments toward transient simulations</w:t>
      </w:r>
      <w:r>
        <w:tab/>
      </w:r>
      <w:r>
        <w:fldChar w:fldCharType="begin"/>
      </w:r>
      <w:r>
        <w:instrText xml:space="preserve"> PAGEREF _Toc478990099 \h </w:instrText>
      </w:r>
      <w:r>
        <w:fldChar w:fldCharType="separate"/>
      </w:r>
      <w:r>
        <w:t>32</w:t>
      </w:r>
      <w:r>
        <w:fldChar w:fldCharType="end"/>
      </w:r>
    </w:p>
    <w:p w:rsidR="003B7F32" w:rsidRDefault="003B7F32">
      <w:pPr>
        <w:pStyle w:val="TOC2"/>
        <w:tabs>
          <w:tab w:val="left" w:pos="720"/>
        </w:tabs>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General flow field</w:t>
      </w:r>
      <w:r>
        <w:tab/>
      </w:r>
      <w:r>
        <w:fldChar w:fldCharType="begin"/>
      </w:r>
      <w:r>
        <w:instrText xml:space="preserve"> PAGEREF _Toc478990100 \h </w:instrText>
      </w:r>
      <w:r>
        <w:fldChar w:fldCharType="separate"/>
      </w:r>
      <w:r>
        <w:t>32</w:t>
      </w:r>
      <w:r>
        <w:fldChar w:fldCharType="end"/>
      </w:r>
    </w:p>
    <w:p w:rsidR="003B7F32" w:rsidRDefault="003B7F32">
      <w:pPr>
        <w:pStyle w:val="TOC2"/>
        <w:tabs>
          <w:tab w:val="left" w:pos="720"/>
        </w:tabs>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lang w:eastAsia="en-GB"/>
        </w:rPr>
        <w:tab/>
      </w:r>
      <w:r>
        <w:t>Verification of the porous core approach</w:t>
      </w:r>
      <w:r>
        <w:tab/>
      </w:r>
      <w:r>
        <w:fldChar w:fldCharType="begin"/>
      </w:r>
      <w:r>
        <w:instrText xml:space="preserve"> PAGEREF _Toc478990101 \h </w:instrText>
      </w:r>
      <w:r>
        <w:fldChar w:fldCharType="separate"/>
      </w:r>
      <w:r>
        <w:t>34</w:t>
      </w:r>
      <w:r>
        <w:fldChar w:fldCharType="end"/>
      </w:r>
    </w:p>
    <w:p w:rsidR="003B7F32" w:rsidRDefault="003B7F32">
      <w:pPr>
        <w:pStyle w:val="TOC2"/>
        <w:tabs>
          <w:tab w:val="left" w:pos="720"/>
        </w:tabs>
        <w:rPr>
          <w:rFonts w:asciiTheme="minorHAnsi" w:eastAsiaTheme="minorEastAsia" w:hAnsiTheme="minorHAnsi" w:cstheme="minorBidi"/>
          <w:sz w:val="22"/>
          <w:szCs w:val="22"/>
          <w:lang w:eastAsia="en-GB"/>
        </w:rPr>
      </w:pPr>
      <w:r>
        <w:t>5.3</w:t>
      </w:r>
      <w:r>
        <w:rPr>
          <w:rFonts w:asciiTheme="minorHAnsi" w:eastAsiaTheme="minorEastAsia" w:hAnsiTheme="minorHAnsi" w:cstheme="minorBidi"/>
          <w:sz w:val="22"/>
          <w:szCs w:val="22"/>
          <w:lang w:eastAsia="en-GB"/>
        </w:rPr>
        <w:tab/>
      </w:r>
      <w:r>
        <w:t>Unsteady features</w:t>
      </w:r>
      <w:r>
        <w:tab/>
      </w:r>
      <w:r>
        <w:fldChar w:fldCharType="begin"/>
      </w:r>
      <w:r>
        <w:instrText xml:space="preserve"> PAGEREF _Toc478990102 \h </w:instrText>
      </w:r>
      <w:r>
        <w:fldChar w:fldCharType="separate"/>
      </w:r>
      <w:r>
        <w:t>36</w:t>
      </w:r>
      <w:r>
        <w:fldChar w:fldCharType="end"/>
      </w:r>
    </w:p>
    <w:p w:rsidR="003B7F32" w:rsidRDefault="003B7F32">
      <w:pPr>
        <w:pStyle w:val="TOC1"/>
        <w:rPr>
          <w:rFonts w:asciiTheme="minorHAnsi" w:eastAsiaTheme="minorEastAsia" w:hAnsiTheme="minorHAnsi" w:cstheme="minorBidi"/>
          <w:b w:val="0"/>
          <w:caps w:val="0"/>
          <w:sz w:val="22"/>
          <w:szCs w:val="22"/>
          <w:lang w:eastAsia="en-GB"/>
        </w:rPr>
      </w:pPr>
      <w:r>
        <w:t>6</w:t>
      </w:r>
      <w:r>
        <w:rPr>
          <w:rFonts w:asciiTheme="minorHAnsi" w:eastAsiaTheme="minorEastAsia" w:hAnsiTheme="minorHAnsi" w:cstheme="minorBidi"/>
          <w:b w:val="0"/>
          <w:caps w:val="0"/>
          <w:sz w:val="22"/>
          <w:szCs w:val="22"/>
          <w:lang w:eastAsia="en-GB"/>
        </w:rPr>
        <w:tab/>
      </w:r>
      <w:r>
        <w:t>What next (conclusion)</w:t>
      </w:r>
      <w:r>
        <w:tab/>
      </w:r>
      <w:r>
        <w:fldChar w:fldCharType="begin"/>
      </w:r>
      <w:r>
        <w:instrText xml:space="preserve"> PAGEREF _Toc478990103 \h </w:instrText>
      </w:r>
      <w:r>
        <w:fldChar w:fldCharType="separate"/>
      </w:r>
      <w:r>
        <w:t>40</w:t>
      </w:r>
      <w:r>
        <w:fldChar w:fldCharType="end"/>
      </w:r>
    </w:p>
    <w:p w:rsidR="003B7F32" w:rsidRDefault="003B7F32">
      <w:pPr>
        <w:pStyle w:val="TOC1"/>
        <w:rPr>
          <w:rFonts w:asciiTheme="minorHAnsi" w:eastAsiaTheme="minorEastAsia" w:hAnsiTheme="minorHAnsi" w:cstheme="minorBidi"/>
          <w:b w:val="0"/>
          <w:caps w:val="0"/>
          <w:sz w:val="22"/>
          <w:szCs w:val="22"/>
          <w:lang w:eastAsia="en-GB"/>
        </w:rPr>
      </w:pPr>
      <w:r>
        <w:t>7</w:t>
      </w:r>
      <w:r>
        <w:rPr>
          <w:rFonts w:asciiTheme="minorHAnsi" w:eastAsiaTheme="minorEastAsia" w:hAnsiTheme="minorHAnsi" w:cstheme="minorBidi"/>
          <w:b w:val="0"/>
          <w:caps w:val="0"/>
          <w:sz w:val="22"/>
          <w:szCs w:val="22"/>
          <w:lang w:eastAsia="en-GB"/>
        </w:rPr>
        <w:tab/>
      </w:r>
      <w:r>
        <w:t>References</w:t>
      </w:r>
      <w:r>
        <w:tab/>
      </w:r>
      <w:r>
        <w:fldChar w:fldCharType="begin"/>
      </w:r>
      <w:r>
        <w:instrText xml:space="preserve"> PAGEREF _Toc478990104 \h </w:instrText>
      </w:r>
      <w:r>
        <w:fldChar w:fldCharType="separate"/>
      </w:r>
      <w:r>
        <w:t>41</w:t>
      </w:r>
      <w:r>
        <w:fldChar w:fldCharType="end"/>
      </w:r>
    </w:p>
    <w:p w:rsidR="009E7ED6" w:rsidRPr="0005337A" w:rsidRDefault="00066E55">
      <w:r w:rsidRPr="0005337A">
        <w:fldChar w:fldCharType="end"/>
      </w:r>
    </w:p>
    <w:p w:rsidR="009E7ED6" w:rsidRPr="0005337A" w:rsidRDefault="009E7ED6">
      <w:pPr>
        <w:pStyle w:val="Heading1"/>
        <w:numPr>
          <w:ilvl w:val="0"/>
          <w:numId w:val="0"/>
        </w:numPr>
      </w:pPr>
      <w:bookmarkStart w:id="0" w:name="_Toc478990066"/>
      <w:r w:rsidRPr="0005337A">
        <w:t>Nomenclature</w:t>
      </w:r>
      <w:bookmarkEnd w:id="0"/>
    </w:p>
    <w:p w:rsidR="009E7ED6" w:rsidRDefault="009E7ED6" w:rsidP="00BC15B5">
      <w:pPr>
        <w:pStyle w:val="nomenclature"/>
      </w:pPr>
      <w:r w:rsidRPr="0005337A">
        <w:rPr>
          <w:u w:val="single"/>
        </w:rPr>
        <w:t>Symbols</w:t>
      </w:r>
    </w:p>
    <w:p w:rsidR="0051124D" w:rsidRDefault="0051124D" w:rsidP="00BC15B5">
      <w:pPr>
        <w:pStyle w:val="nomenclature"/>
      </w:pPr>
      <w:r>
        <w:t>C</w:t>
      </w:r>
      <w:r>
        <w:rPr>
          <w:vertAlign w:val="subscript"/>
        </w:rPr>
        <w:t>p</w:t>
      </w:r>
      <w:r>
        <w:tab/>
        <w:t>isobaric specific heat</w:t>
      </w:r>
    </w:p>
    <w:p w:rsidR="008D07A8" w:rsidRPr="0051124D" w:rsidRDefault="008D07A8" w:rsidP="00BC15B5">
      <w:pPr>
        <w:pStyle w:val="nomenclature"/>
      </w:pPr>
      <w:r>
        <w:t>R</w:t>
      </w:r>
      <w:r>
        <w:tab/>
        <w:t>hydraulic resistance</w:t>
      </w:r>
    </w:p>
    <w:p w:rsidR="0051124D" w:rsidRDefault="00BC15B5" w:rsidP="00BC15B5">
      <w:pPr>
        <w:pStyle w:val="nomenclature"/>
      </w:pPr>
      <w:r>
        <w:t>T</w:t>
      </w:r>
      <w:r>
        <w:tab/>
        <w:t>temperature</w:t>
      </w:r>
      <w:r w:rsidR="009E7ED6" w:rsidRPr="0005337A">
        <w:t xml:space="preserve"> </w:t>
      </w:r>
    </w:p>
    <w:p w:rsidR="008D07A8" w:rsidRPr="0005337A" w:rsidRDefault="008D07A8" w:rsidP="00BC15B5">
      <w:pPr>
        <w:pStyle w:val="nomenclature"/>
      </w:pPr>
      <w:proofErr w:type="gramStart"/>
      <w:r>
        <w:t>u</w:t>
      </w:r>
      <w:proofErr w:type="gramEnd"/>
      <w:r>
        <w:tab/>
        <w:t>velocity</w:t>
      </w:r>
    </w:p>
    <w:p w:rsidR="009E7ED6" w:rsidRPr="0005337A" w:rsidRDefault="009E7ED6">
      <w:pPr>
        <w:pStyle w:val="nomenclature"/>
      </w:pPr>
    </w:p>
    <w:p w:rsidR="009E7ED6" w:rsidRDefault="009E7ED6" w:rsidP="00BC15B5">
      <w:pPr>
        <w:pStyle w:val="nomenclature"/>
      </w:pPr>
      <w:r w:rsidRPr="0005337A">
        <w:rPr>
          <w:u w:val="single"/>
        </w:rPr>
        <w:t>Greek</w:t>
      </w:r>
    </w:p>
    <w:p w:rsidR="0051124D" w:rsidRPr="0051124D" w:rsidRDefault="0051124D" w:rsidP="00BC15B5">
      <w:pPr>
        <w:pStyle w:val="nomenclature"/>
      </w:pPr>
      <w:r>
        <w:rPr>
          <w:rFonts w:ascii="Symbol" w:hAnsi="Symbol"/>
        </w:rPr>
        <w:t></w:t>
      </w:r>
      <w:r>
        <w:rPr>
          <w:rFonts w:ascii="Symbol" w:hAnsi="Symbol"/>
        </w:rPr>
        <w:tab/>
      </w:r>
      <w:proofErr w:type="gramStart"/>
      <w:r w:rsidRPr="0051124D">
        <w:t>density</w:t>
      </w:r>
      <w:proofErr w:type="gramEnd"/>
    </w:p>
    <w:p w:rsidR="00F465DD" w:rsidRPr="0005337A" w:rsidRDefault="00BC15B5" w:rsidP="00BC15B5">
      <w:pPr>
        <w:pStyle w:val="nomenclature"/>
        <w:rPr>
          <w:spacing w:val="-2"/>
        </w:rPr>
      </w:pPr>
      <w:r w:rsidRPr="00BC15B5">
        <w:rPr>
          <w:rFonts w:ascii="Symbol" w:hAnsi="Symbol"/>
        </w:rPr>
        <w:t></w:t>
      </w:r>
      <w:r>
        <w:tab/>
      </w:r>
      <w:proofErr w:type="gramStart"/>
      <w:r>
        <w:t>characteristic</w:t>
      </w:r>
      <w:proofErr w:type="gramEnd"/>
      <w:r>
        <w:t xml:space="preserve"> time</w:t>
      </w:r>
    </w:p>
    <w:p w:rsidR="009E7ED6" w:rsidRPr="0005337A" w:rsidRDefault="009E7ED6">
      <w:pPr>
        <w:pStyle w:val="nomenclature"/>
      </w:pPr>
    </w:p>
    <w:p w:rsidR="009E7ED6" w:rsidRDefault="009E7ED6" w:rsidP="00BC15B5">
      <w:pPr>
        <w:pStyle w:val="nomenclature"/>
      </w:pPr>
      <w:r w:rsidRPr="0005337A">
        <w:rPr>
          <w:u w:val="single"/>
        </w:rPr>
        <w:t>Subscript</w:t>
      </w:r>
    </w:p>
    <w:p w:rsidR="00BC15B5" w:rsidRDefault="00BC15B5" w:rsidP="007A5CE1">
      <w:pPr>
        <w:pStyle w:val="nomenclature"/>
      </w:pPr>
      <w:r>
        <w:t>(.)</w:t>
      </w:r>
      <w:r>
        <w:rPr>
          <w:vertAlign w:val="subscript"/>
        </w:rPr>
        <w:t>0</w:t>
      </w:r>
      <w:r>
        <w:tab/>
        <w:t>reference or target value</w:t>
      </w:r>
    </w:p>
    <w:p w:rsidR="008D07A8" w:rsidRDefault="008D07A8" w:rsidP="007A5CE1">
      <w:pPr>
        <w:pStyle w:val="nomenclature"/>
      </w:pPr>
      <w:r>
        <w:t>(.)</w:t>
      </w:r>
      <w:proofErr w:type="gramStart"/>
      <w:r>
        <w:rPr>
          <w:vertAlign w:val="subscript"/>
        </w:rPr>
        <w:t>l</w:t>
      </w:r>
      <w:proofErr w:type="gramEnd"/>
      <w:r>
        <w:tab/>
        <w:t>linear</w:t>
      </w:r>
    </w:p>
    <w:p w:rsidR="008D07A8" w:rsidRPr="008D07A8" w:rsidRDefault="008D07A8" w:rsidP="007A5CE1">
      <w:pPr>
        <w:pStyle w:val="nomenclature"/>
      </w:pPr>
      <w:r>
        <w:t>(.)</w:t>
      </w:r>
      <w:r>
        <w:rPr>
          <w:vertAlign w:val="subscript"/>
        </w:rPr>
        <w:t>q</w:t>
      </w:r>
      <w:r>
        <w:tab/>
      </w:r>
      <w:proofErr w:type="gramStart"/>
      <w:r>
        <w:t>quadratic</w:t>
      </w:r>
      <w:proofErr w:type="gramEnd"/>
    </w:p>
    <w:p w:rsidR="009E7ED6" w:rsidRPr="0005337A" w:rsidRDefault="009E7ED6">
      <w:pPr>
        <w:pStyle w:val="nomenclature"/>
      </w:pPr>
    </w:p>
    <w:p w:rsidR="009E7ED6" w:rsidRPr="0005337A" w:rsidRDefault="009E7ED6">
      <w:pPr>
        <w:pStyle w:val="nomenclature"/>
        <w:rPr>
          <w:u w:val="single"/>
        </w:rPr>
      </w:pPr>
      <w:r w:rsidRPr="0005337A">
        <w:rPr>
          <w:u w:val="single"/>
        </w:rPr>
        <w:t>Abbreviations</w:t>
      </w:r>
    </w:p>
    <w:p w:rsidR="0051124D" w:rsidRDefault="0051124D" w:rsidP="00A370EF">
      <w:pPr>
        <w:pStyle w:val="nomenclature"/>
      </w:pPr>
      <w:r>
        <w:t>ACS</w:t>
      </w:r>
      <w:r>
        <w:tab/>
        <w:t>Above Core Structure</w:t>
      </w:r>
    </w:p>
    <w:p w:rsidR="00A370EF" w:rsidRDefault="00A370EF" w:rsidP="00A370EF">
      <w:pPr>
        <w:pStyle w:val="nomenclature"/>
      </w:pPr>
      <w:r>
        <w:t>CAD</w:t>
      </w:r>
      <w:r>
        <w:tab/>
        <w:t>Computer-Aided Design</w:t>
      </w:r>
      <w:bookmarkStart w:id="1" w:name="_GoBack"/>
      <w:bookmarkEnd w:id="1"/>
    </w:p>
    <w:p w:rsidR="00157C3C" w:rsidRDefault="00157C3C" w:rsidP="00A370EF">
      <w:pPr>
        <w:pStyle w:val="nomenclature"/>
      </w:pPr>
      <w:r>
        <w:t>CFD</w:t>
      </w:r>
      <w:r>
        <w:tab/>
        <w:t>Computational Fluid Dynamics</w:t>
      </w:r>
    </w:p>
    <w:p w:rsidR="0051124D" w:rsidRDefault="0051124D" w:rsidP="00A370EF">
      <w:pPr>
        <w:pStyle w:val="nomenclature"/>
      </w:pPr>
      <w:r>
        <w:t>CR</w:t>
      </w:r>
      <w:r>
        <w:tab/>
        <w:t>Control Rod</w:t>
      </w:r>
    </w:p>
    <w:p w:rsidR="009B44DB" w:rsidRDefault="009B44DB" w:rsidP="00A370EF">
      <w:pPr>
        <w:pStyle w:val="nomenclature"/>
      </w:pPr>
      <w:proofErr w:type="spellStart"/>
      <w:r>
        <w:t>EoS</w:t>
      </w:r>
      <w:proofErr w:type="spellEnd"/>
      <w:r>
        <w:tab/>
        <w:t>Equation of State</w:t>
      </w:r>
    </w:p>
    <w:p w:rsidR="00A370EF" w:rsidRPr="00A370EF" w:rsidRDefault="00A370EF" w:rsidP="00A370EF">
      <w:pPr>
        <w:pStyle w:val="nomenclature"/>
      </w:pPr>
      <w:r w:rsidRPr="00A370EF">
        <w:t>FA</w:t>
      </w:r>
      <w:r w:rsidRPr="00A370EF">
        <w:tab/>
        <w:t>Fuel Assembly</w:t>
      </w:r>
    </w:p>
    <w:p w:rsidR="00A370EF" w:rsidRDefault="00A370EF" w:rsidP="00A370EF">
      <w:pPr>
        <w:pStyle w:val="nomenclature"/>
      </w:pPr>
      <w:r w:rsidRPr="00A370EF">
        <w:t>HX</w:t>
      </w:r>
      <w:r w:rsidRPr="00A370EF">
        <w:tab/>
        <w:t xml:space="preserve">Heat </w:t>
      </w:r>
      <w:proofErr w:type="spellStart"/>
      <w:r w:rsidRPr="00A370EF">
        <w:t>eXchanger</w:t>
      </w:r>
      <w:proofErr w:type="spellEnd"/>
    </w:p>
    <w:p w:rsidR="0051124D" w:rsidRPr="00A370EF" w:rsidRDefault="0051124D" w:rsidP="00A370EF">
      <w:pPr>
        <w:pStyle w:val="nomenclature"/>
      </w:pPr>
      <w:r>
        <w:t>IPS</w:t>
      </w:r>
      <w:r>
        <w:tab/>
        <w:t>In Pile Section</w:t>
      </w:r>
    </w:p>
    <w:p w:rsidR="00A370EF" w:rsidRPr="00A370EF" w:rsidRDefault="00A370EF" w:rsidP="00A370EF">
      <w:pPr>
        <w:pStyle w:val="nomenclature"/>
      </w:pPr>
      <w:r w:rsidRPr="00A370EF">
        <w:lastRenderedPageBreak/>
        <w:t>IVFH</w:t>
      </w:r>
      <w:r w:rsidRPr="00A370EF">
        <w:tab/>
      </w:r>
      <w:proofErr w:type="gramStart"/>
      <w:r w:rsidRPr="00A370EF">
        <w:t>In</w:t>
      </w:r>
      <w:proofErr w:type="gramEnd"/>
      <w:r w:rsidRPr="00A370EF">
        <w:t xml:space="preserve"> Vessel Fuel Handling</w:t>
      </w:r>
    </w:p>
    <w:p w:rsidR="00A370EF" w:rsidRDefault="00A370EF" w:rsidP="00A370EF">
      <w:pPr>
        <w:pStyle w:val="nomenclature"/>
      </w:pPr>
      <w:r w:rsidRPr="00A370EF">
        <w:t>IVFS</w:t>
      </w:r>
      <w:r w:rsidRPr="00A370EF">
        <w:tab/>
      </w:r>
      <w:proofErr w:type="gramStart"/>
      <w:r w:rsidRPr="00A370EF">
        <w:t>In</w:t>
      </w:r>
      <w:proofErr w:type="gramEnd"/>
      <w:r w:rsidRPr="00A370EF">
        <w:t xml:space="preserve"> Vessel Fuel Storage</w:t>
      </w:r>
    </w:p>
    <w:p w:rsidR="00C33162" w:rsidRDefault="00C33162" w:rsidP="00A370EF">
      <w:pPr>
        <w:pStyle w:val="nomenclature"/>
      </w:pPr>
      <w:r>
        <w:t>LBE</w:t>
      </w:r>
      <w:r>
        <w:tab/>
        <w:t>Lead-Bismuth Eutectic</w:t>
      </w:r>
    </w:p>
    <w:p w:rsidR="00A370EF" w:rsidRDefault="00A370EF" w:rsidP="00A370EF">
      <w:pPr>
        <w:pStyle w:val="nomenclature"/>
      </w:pPr>
      <w:r>
        <w:t>LES</w:t>
      </w:r>
      <w:r>
        <w:tab/>
        <w:t>Large Eddy Simulation</w:t>
      </w:r>
    </w:p>
    <w:p w:rsidR="00BC15B5" w:rsidRDefault="00BC15B5" w:rsidP="00A370EF">
      <w:pPr>
        <w:pStyle w:val="nomenclature"/>
      </w:pPr>
      <w:r>
        <w:t>MYRRHA</w:t>
      </w:r>
      <w:r>
        <w:tab/>
      </w:r>
      <w:r w:rsidR="003E667B" w:rsidRPr="003E667B">
        <w:t xml:space="preserve">Multi-purpose </w:t>
      </w:r>
      <w:proofErr w:type="spellStart"/>
      <w:r w:rsidR="003E667B" w:rsidRPr="003E667B">
        <w:t>h</w:t>
      </w:r>
      <w:r w:rsidR="003E667B">
        <w:t>Y</w:t>
      </w:r>
      <w:r w:rsidR="003E667B" w:rsidRPr="003E667B">
        <w:t>brid</w:t>
      </w:r>
      <w:proofErr w:type="spellEnd"/>
      <w:r w:rsidR="003E667B" w:rsidRPr="003E667B">
        <w:t xml:space="preserve"> </w:t>
      </w:r>
      <w:r w:rsidR="003E667B">
        <w:t>R</w:t>
      </w:r>
      <w:r w:rsidR="003E667B" w:rsidRPr="003E667B">
        <w:t xml:space="preserve">esearch </w:t>
      </w:r>
      <w:r w:rsidR="003E667B">
        <w:t>R</w:t>
      </w:r>
      <w:r w:rsidR="003E667B" w:rsidRPr="003E667B">
        <w:t xml:space="preserve">eactor for </w:t>
      </w:r>
      <w:r w:rsidR="003E667B">
        <w:t>H</w:t>
      </w:r>
      <w:r w:rsidR="003E667B" w:rsidRPr="003E667B">
        <w:t xml:space="preserve">igh-tech </w:t>
      </w:r>
      <w:r w:rsidR="003E667B">
        <w:t>A</w:t>
      </w:r>
      <w:r w:rsidR="003E667B" w:rsidRPr="003E667B">
        <w:t>pplications</w:t>
      </w:r>
    </w:p>
    <w:p w:rsidR="00D12E58" w:rsidRDefault="00D12E58" w:rsidP="00A370EF">
      <w:pPr>
        <w:pStyle w:val="nomenclature"/>
      </w:pPr>
      <w:r>
        <w:t>NS</w:t>
      </w:r>
      <w:r>
        <w:tab/>
      </w:r>
      <w:proofErr w:type="spellStart"/>
      <w:r>
        <w:t>Navier</w:t>
      </w:r>
      <w:proofErr w:type="spellEnd"/>
      <w:r>
        <w:t>-Stokes</w:t>
      </w:r>
    </w:p>
    <w:p w:rsidR="00A370EF" w:rsidRDefault="00A370EF" w:rsidP="00A370EF">
      <w:pPr>
        <w:pStyle w:val="nomenclature"/>
      </w:pPr>
      <w:r>
        <w:t>PP</w:t>
      </w:r>
      <w:r>
        <w:tab/>
        <w:t>Primary Pump</w:t>
      </w:r>
    </w:p>
    <w:p w:rsidR="0051124D" w:rsidRDefault="0051124D" w:rsidP="00A370EF">
      <w:pPr>
        <w:pStyle w:val="nomenclature"/>
      </w:pPr>
      <w:r>
        <w:t>RANS</w:t>
      </w:r>
      <w:r>
        <w:tab/>
      </w:r>
      <w:r w:rsidRPr="0051124D">
        <w:t xml:space="preserve">Reynolds Averaged </w:t>
      </w:r>
      <w:proofErr w:type="spellStart"/>
      <w:r w:rsidRPr="0051124D">
        <w:t>Navier</w:t>
      </w:r>
      <w:proofErr w:type="spellEnd"/>
      <w:r w:rsidRPr="0051124D">
        <w:t>-Stokes</w:t>
      </w:r>
    </w:p>
    <w:p w:rsidR="00A370EF" w:rsidRDefault="00A370EF" w:rsidP="00A370EF">
      <w:pPr>
        <w:pStyle w:val="nomenclature"/>
      </w:pPr>
      <w:r>
        <w:t>URANS</w:t>
      </w:r>
      <w:r>
        <w:tab/>
        <w:t>Un</w:t>
      </w:r>
      <w:r w:rsidR="00FB5905">
        <w:t>-</w:t>
      </w:r>
      <w:r>
        <w:t xml:space="preserve">stationary Reynolds Averaged </w:t>
      </w:r>
      <w:proofErr w:type="spellStart"/>
      <w:r>
        <w:t>Navier</w:t>
      </w:r>
      <w:proofErr w:type="spellEnd"/>
      <w:r>
        <w:t>-Stokes</w:t>
      </w:r>
    </w:p>
    <w:p w:rsidR="00A370EF" w:rsidRPr="00A370EF" w:rsidRDefault="00A64230" w:rsidP="00A370EF">
      <w:pPr>
        <w:pStyle w:val="nomenclature"/>
      </w:pPr>
      <w:proofErr w:type="spellStart"/>
      <w:r>
        <w:t>VoF</w:t>
      </w:r>
      <w:proofErr w:type="spellEnd"/>
      <w:r>
        <w:tab/>
        <w:t>Volume o</w:t>
      </w:r>
      <w:r w:rsidR="00A370EF">
        <w:t>f Fluid</w:t>
      </w:r>
    </w:p>
    <w:p w:rsidR="00A64230" w:rsidRDefault="009E7ED6">
      <w:pPr>
        <w:pStyle w:val="Heading1"/>
      </w:pPr>
      <w:bookmarkStart w:id="2" w:name="_Toc62616180"/>
      <w:bookmarkStart w:id="3" w:name="_Toc478990067"/>
      <w:r w:rsidRPr="0005337A">
        <w:t>introduction</w:t>
      </w:r>
      <w:bookmarkEnd w:id="2"/>
      <w:bookmarkEnd w:id="3"/>
    </w:p>
    <w:p w:rsidR="00D62593" w:rsidRDefault="00CC4598" w:rsidP="007158EC">
      <w:pPr>
        <w:pStyle w:val="BodyText"/>
      </w:pPr>
      <w:r>
        <w:t>Numerical simulation of a reactor pool is still a very challenging problem despite the ever increasing computational power and available numerical techniques.</w:t>
      </w:r>
      <w:r w:rsidR="00D62593">
        <w:t xml:space="preserve"> The main difficulty in the application of CFD codes to such problems are due to:</w:t>
      </w:r>
    </w:p>
    <w:p w:rsidR="00642096" w:rsidRDefault="00642096" w:rsidP="007158EC">
      <w:pPr>
        <w:pStyle w:val="BodyText"/>
        <w:numPr>
          <w:ilvl w:val="0"/>
          <w:numId w:val="21"/>
        </w:numPr>
      </w:pPr>
      <w:r>
        <w:t xml:space="preserve">The complex multi-physical environment </w:t>
      </w:r>
      <w:r w:rsidR="00C4382C">
        <w:t xml:space="preserve">coexisting </w:t>
      </w:r>
      <w:r>
        <w:t>in such applications and the lack of general knowledge of their modelling in an economic way.</w:t>
      </w:r>
    </w:p>
    <w:p w:rsidR="00D62593" w:rsidRDefault="00D62593" w:rsidP="007158EC">
      <w:pPr>
        <w:pStyle w:val="BodyText"/>
        <w:numPr>
          <w:ilvl w:val="0"/>
          <w:numId w:val="21"/>
        </w:numPr>
      </w:pPr>
      <w:r>
        <w:t>The difficulties arising while building the</w:t>
      </w:r>
      <w:r w:rsidR="00C4382C">
        <w:t xml:space="preserve"> numerical</w:t>
      </w:r>
      <w:r>
        <w:t xml:space="preserve"> model, including the definition of the conditions to be simulated.</w:t>
      </w:r>
    </w:p>
    <w:p w:rsidR="00CC4598" w:rsidRDefault="00CC4598" w:rsidP="000420C3"/>
    <w:p w:rsidR="00D62593" w:rsidRPr="00856C6C" w:rsidRDefault="00856C6C" w:rsidP="00856C6C">
      <w:pPr>
        <w:pStyle w:val="Heading2"/>
      </w:pPr>
      <w:bookmarkStart w:id="4" w:name="_Toc478990068"/>
      <w:r>
        <w:t>Identification of the relevant phy</w:t>
      </w:r>
      <w:r w:rsidRPr="00856C6C">
        <w:t>sics</w:t>
      </w:r>
      <w:bookmarkEnd w:id="4"/>
    </w:p>
    <w:p w:rsidR="00D62593" w:rsidRDefault="00D62593" w:rsidP="00CC4598">
      <w:pPr>
        <w:jc w:val="both"/>
        <w:rPr>
          <w:shd w:val="clear" w:color="auto" w:fill="FFFFFF"/>
        </w:rPr>
      </w:pPr>
    </w:p>
    <w:p w:rsidR="00353BD2" w:rsidRPr="007158EC" w:rsidRDefault="00AD1E85" w:rsidP="007158EC">
      <w:pPr>
        <w:pStyle w:val="BodyText"/>
      </w:pPr>
      <w:r w:rsidRPr="007158EC">
        <w:t xml:space="preserve">To demonstrate the complexity and the process of analysis </w:t>
      </w:r>
      <w:r w:rsidR="00C4382C" w:rsidRPr="007158EC">
        <w:t xml:space="preserve">of </w:t>
      </w:r>
      <w:r w:rsidRPr="007158EC">
        <w:t>the relevant physics</w:t>
      </w:r>
      <w:r w:rsidR="00353BD2" w:rsidRPr="007158EC">
        <w:t xml:space="preserve"> in</w:t>
      </w:r>
      <w:r w:rsidRPr="007158EC">
        <w:t xml:space="preserve"> a pool type configuration</w:t>
      </w:r>
      <w:r w:rsidR="00C4382C" w:rsidRPr="007158EC">
        <w:t>,</w:t>
      </w:r>
      <w:r w:rsidRPr="007158EC">
        <w:t xml:space="preserve"> the MYHRR</w:t>
      </w:r>
      <w:r w:rsidR="00CC4598" w:rsidRPr="007158EC">
        <w:t>A</w:t>
      </w:r>
      <w:r w:rsidRPr="007158EC">
        <w:t xml:space="preserve"> </w:t>
      </w:r>
      <w:r w:rsidR="006577FB">
        <w:t>[</w:t>
      </w:r>
      <w:r w:rsidR="00066E55">
        <w:fldChar w:fldCharType="begin"/>
      </w:r>
      <w:r w:rsidR="006577FB">
        <w:instrText xml:space="preserve"> REF _Ref478982000 \r \h </w:instrText>
      </w:r>
      <w:r w:rsidR="00066E55">
        <w:fldChar w:fldCharType="separate"/>
      </w:r>
      <w:r w:rsidR="003B7F32">
        <w:t>1</w:t>
      </w:r>
      <w:r w:rsidR="00066E55">
        <w:fldChar w:fldCharType="end"/>
      </w:r>
      <w:r w:rsidR="006577FB">
        <w:t xml:space="preserve">] </w:t>
      </w:r>
      <w:r w:rsidRPr="007158EC">
        <w:t>reactor will be used as demonstrator.</w:t>
      </w:r>
      <w:r w:rsidR="00CC4598" w:rsidRPr="007158EC">
        <w:t xml:space="preserve"> </w:t>
      </w:r>
      <w:r w:rsidRPr="007158EC">
        <w:t xml:space="preserve">A </w:t>
      </w:r>
      <w:r w:rsidR="00CC4598" w:rsidRPr="007158EC">
        <w:t xml:space="preserve">picture of the </w:t>
      </w:r>
      <w:r w:rsidRPr="007158EC">
        <w:t xml:space="preserve">MYRRHA </w:t>
      </w:r>
      <w:r w:rsidR="00CC4598" w:rsidRPr="007158EC">
        <w:t>reactor and the relevant physical aspects</w:t>
      </w:r>
      <w:r w:rsidR="004C24D9" w:rsidRPr="007158EC">
        <w:t xml:space="preserve"> from the thermo-hydraulic point of view</w:t>
      </w:r>
      <w:r w:rsidR="00CC4598" w:rsidRPr="007158EC">
        <w:t xml:space="preserve"> is proposed in</w:t>
      </w:r>
      <w:r w:rsidR="00151F41" w:rsidRPr="007158EC">
        <w:t xml:space="preserve"> </w:t>
      </w:r>
      <w:fldSimple w:instr=" REF _Ref478546307 \h  \* MERGEFORMAT ">
        <w:r w:rsidR="003B7F32" w:rsidRPr="009D7EED">
          <w:t xml:space="preserve">Figure </w:t>
        </w:r>
        <w:r w:rsidR="003B7F32">
          <w:t>1</w:t>
        </w:r>
      </w:fldSimple>
      <w:r w:rsidR="00CC4598" w:rsidRPr="007158EC">
        <w:t xml:space="preserve">. The numerical simulation </w:t>
      </w:r>
      <w:r w:rsidR="00353BD2" w:rsidRPr="007158EC">
        <w:t xml:space="preserve">considered for this thought experiment </w:t>
      </w:r>
      <w:r w:rsidR="00CC4598" w:rsidRPr="007158EC">
        <w:t xml:space="preserve">aims to </w:t>
      </w:r>
      <w:r w:rsidR="00C4382C" w:rsidRPr="007158EC">
        <w:t xml:space="preserve">reproduce </w:t>
      </w:r>
      <w:r w:rsidR="00CC4598" w:rsidRPr="007158EC">
        <w:t xml:space="preserve">the primary </w:t>
      </w:r>
      <w:r w:rsidR="00702B8E" w:rsidRPr="007158EC">
        <w:t>coolant flow and heat transfer</w:t>
      </w:r>
      <w:r w:rsidR="00C4382C" w:rsidRPr="007158EC">
        <w:t xml:space="preserve"> patterns</w:t>
      </w:r>
      <w:r w:rsidR="00702B8E" w:rsidRPr="007158EC">
        <w:t>.</w:t>
      </w:r>
    </w:p>
    <w:p w:rsidR="00702B8E" w:rsidRPr="007158EC" w:rsidRDefault="00702B8E" w:rsidP="007158EC">
      <w:pPr>
        <w:pStyle w:val="BodyText"/>
      </w:pPr>
      <w:r w:rsidRPr="007158EC">
        <w:t xml:space="preserve">Due to the low velocities considered and the nature of the cooling liquid – </w:t>
      </w:r>
      <w:r w:rsidR="00C4382C" w:rsidRPr="007158EC">
        <w:t xml:space="preserve">a </w:t>
      </w:r>
      <w:r w:rsidRPr="007158EC">
        <w:t xml:space="preserve">liquid metal – the flow field can be considered as incompressible. This assumption removes the direct link between the temperature, </w:t>
      </w:r>
      <w:r w:rsidR="00C4382C" w:rsidRPr="007158EC">
        <w:t xml:space="preserve">the </w:t>
      </w:r>
      <w:r w:rsidRPr="007158EC">
        <w:t xml:space="preserve">density and </w:t>
      </w:r>
      <w:r w:rsidR="00C4382C" w:rsidRPr="007158EC">
        <w:t xml:space="preserve">the </w:t>
      </w:r>
      <w:r w:rsidRPr="007158EC">
        <w:t>pressure</w:t>
      </w:r>
      <w:r w:rsidR="00D9527A" w:rsidRPr="007158EC">
        <w:t>.</w:t>
      </w:r>
      <w:r w:rsidRPr="007158EC">
        <w:t xml:space="preserve"> The primary coolant of the reactor is Lead Bismuth Eutectic, LBE, a heavy liquid metal with low </w:t>
      </w:r>
      <w:proofErr w:type="spellStart"/>
      <w:r w:rsidRPr="007158EC">
        <w:t>Prandtl</w:t>
      </w:r>
      <w:proofErr w:type="spellEnd"/>
      <w:r w:rsidRPr="007158EC">
        <w:t xml:space="preserve"> number. Its material properties are highly dependent on temperature; known correlations could be</w:t>
      </w:r>
      <w:r w:rsidR="006E14B9" w:rsidRPr="007158EC">
        <w:t xml:space="preserve"> taken from the LBE Handbook [</w:t>
      </w:r>
      <w:fldSimple w:instr=" REF _Ref478715058 \r \h  \* MERGEFORMAT ">
        <w:r w:rsidR="003B7F32">
          <w:t>6</w:t>
        </w:r>
      </w:fldSimple>
      <w:r w:rsidR="006E14B9" w:rsidRPr="007158EC">
        <w:t>]</w:t>
      </w:r>
      <w:r w:rsidRPr="007158EC">
        <w:t>. Above the LBE in the reactor Argon gas is placed and free surfaces are formed. The need to represent the free surface in the simulations depends on the operating conditions investigated.</w:t>
      </w:r>
    </w:p>
    <w:p w:rsidR="00CC4598" w:rsidRPr="007158EC" w:rsidRDefault="009C5575" w:rsidP="007158EC">
      <w:pPr>
        <w:pStyle w:val="BodyText"/>
      </w:pPr>
      <w:r w:rsidRPr="007158EC">
        <w:lastRenderedPageBreak/>
        <w:t>With that</w:t>
      </w:r>
      <w:r w:rsidR="0004378C" w:rsidRPr="007158EC">
        <w:t>,</w:t>
      </w:r>
      <w:r w:rsidRPr="007158EC">
        <w:t xml:space="preserve"> we can consider to solve the incompressible Reynolds-Averaged </w:t>
      </w:r>
      <w:proofErr w:type="spellStart"/>
      <w:r w:rsidRPr="007158EC">
        <w:t>Navier</w:t>
      </w:r>
      <w:proofErr w:type="spellEnd"/>
      <w:r w:rsidRPr="007158EC">
        <w:t xml:space="preserve">-Stokes equations, complemented with the energy equation. In general, the incompressible thermal equation is decoupled from the momentum, but in the </w:t>
      </w:r>
      <w:r w:rsidR="0004378C" w:rsidRPr="007158EC">
        <w:t xml:space="preserve">MYRRHA </w:t>
      </w:r>
      <w:r w:rsidRPr="007158EC">
        <w:t>reactor</w:t>
      </w:r>
      <w:r w:rsidR="0004378C" w:rsidRPr="007158EC">
        <w:t xml:space="preserve"> case,</w:t>
      </w:r>
      <w:r w:rsidRPr="007158EC">
        <w:t xml:space="preserve"> due to the high temperature variation the buoyancy effects </w:t>
      </w:r>
      <w:r w:rsidR="0004378C" w:rsidRPr="007158EC">
        <w:t xml:space="preserve">are </w:t>
      </w:r>
      <w:r w:rsidRPr="007158EC">
        <w:t xml:space="preserve">expected to contribute significantly to the flow field, so that </w:t>
      </w:r>
      <w:r w:rsidR="0004378C" w:rsidRPr="007158EC">
        <w:t xml:space="preserve">a </w:t>
      </w:r>
      <w:r w:rsidRPr="007158EC">
        <w:t>force term should be included in the momentum equation</w:t>
      </w:r>
      <w:r w:rsidR="004C24D9" w:rsidRPr="007158EC">
        <w:t>, rebuilding the coupling between velocity and temperature.</w:t>
      </w:r>
      <w:r w:rsidR="004B3BA3" w:rsidRPr="007158EC">
        <w:t xml:space="preserve"> </w:t>
      </w:r>
      <w:r w:rsidR="00CC4598" w:rsidRPr="007158EC">
        <w:t xml:space="preserve">Conjugate heat transfer plays a significant role due to the high </w:t>
      </w:r>
      <w:r w:rsidR="00AD1E85" w:rsidRPr="007158EC">
        <w:t xml:space="preserve">temperature </w:t>
      </w:r>
      <w:r w:rsidR="004B3BA3" w:rsidRPr="007158EC">
        <w:t>gradients, so its effect might need to be considered, as well.</w:t>
      </w:r>
    </w:p>
    <w:p w:rsidR="004B3BA3" w:rsidRPr="009D7EED" w:rsidRDefault="004B3BA3" w:rsidP="00CC4598">
      <w:pPr>
        <w:jc w:val="both"/>
        <w:rPr>
          <w:shd w:val="clear" w:color="auto" w:fill="FFFFFF"/>
        </w:rPr>
      </w:pPr>
    </w:p>
    <w:p w:rsidR="00CC4598" w:rsidRDefault="00CC4598" w:rsidP="00AB1926">
      <w:pPr>
        <w:keepNext/>
        <w:spacing w:before="120" w:after="120"/>
        <w:jc w:val="center"/>
      </w:pPr>
      <w:r w:rsidRPr="00FB5AF9">
        <w:t>.</w:t>
      </w:r>
      <w:r w:rsidRPr="00F95853">
        <w:rPr>
          <w:rFonts w:ascii="CG Omega" w:hAnsi="CG Omega"/>
          <w:iCs/>
          <w:lang w:eastAsia="en-GB"/>
        </w:rPr>
        <w:t xml:space="preserve"> </w:t>
      </w:r>
      <w:r w:rsidRPr="00443002">
        <w:rPr>
          <w:rFonts w:ascii="CG Omega" w:hAnsi="CG Omega"/>
          <w:iCs/>
          <w:noProof/>
          <w:lang w:eastAsia="en-GB"/>
        </w:rPr>
        <w:drawing>
          <wp:inline distT="0" distB="0" distL="0" distR="0">
            <wp:extent cx="3823673" cy="2730655"/>
            <wp:effectExtent l="19050" t="0" r="5377" b="0"/>
            <wp:docPr id="60" name="Picture 2" descr="Phys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s.png"/>
                    <pic:cNvPicPr/>
                  </pic:nvPicPr>
                  <pic:blipFill>
                    <a:blip r:embed="rId8" cstate="print"/>
                    <a:stretch>
                      <a:fillRect/>
                    </a:stretch>
                  </pic:blipFill>
                  <pic:spPr>
                    <a:xfrm>
                      <a:off x="0" y="0"/>
                      <a:ext cx="3826408" cy="2732608"/>
                    </a:xfrm>
                    <a:prstGeom prst="rect">
                      <a:avLst/>
                    </a:prstGeom>
                  </pic:spPr>
                </pic:pic>
              </a:graphicData>
            </a:graphic>
          </wp:inline>
        </w:drawing>
      </w:r>
    </w:p>
    <w:p w:rsidR="00CC4598" w:rsidRPr="009D7EED" w:rsidRDefault="00CC4598" w:rsidP="00AB1926">
      <w:pPr>
        <w:pStyle w:val="Caption"/>
        <w:spacing w:after="120" w:line="240" w:lineRule="auto"/>
        <w:jc w:val="center"/>
      </w:pPr>
      <w:bookmarkStart w:id="5" w:name="_Ref478546307"/>
      <w:r w:rsidRPr="009D7EED">
        <w:t xml:space="preserve">Figure </w:t>
      </w:r>
      <w:r w:rsidR="00066E55">
        <w:fldChar w:fldCharType="begin"/>
      </w:r>
      <w:r w:rsidR="0077354E">
        <w:instrText xml:space="preserve"> SEQ Figure \* ARABIC </w:instrText>
      </w:r>
      <w:r w:rsidR="00066E55">
        <w:fldChar w:fldCharType="separate"/>
      </w:r>
      <w:r w:rsidR="003B7F32">
        <w:rPr>
          <w:noProof/>
        </w:rPr>
        <w:t>1</w:t>
      </w:r>
      <w:r w:rsidR="00066E55">
        <w:rPr>
          <w:noProof/>
        </w:rPr>
        <w:fldChar w:fldCharType="end"/>
      </w:r>
      <w:bookmarkEnd w:id="5"/>
      <w:r w:rsidRPr="009D7EED">
        <w:t>: The MYRRHA reactor and physical considerations</w:t>
      </w:r>
    </w:p>
    <w:p w:rsidR="00CC4598" w:rsidRDefault="00CC4598" w:rsidP="000420C3"/>
    <w:p w:rsidR="004B3BA3" w:rsidRDefault="004B3BA3" w:rsidP="007158EC">
      <w:pPr>
        <w:pStyle w:val="BodyText"/>
      </w:pPr>
      <w:r>
        <w:t>Between the reactor cover and the LBE</w:t>
      </w:r>
      <w:r w:rsidR="0004378C">
        <w:t>,</w:t>
      </w:r>
      <w:r>
        <w:t xml:space="preserve"> Argon gas is placed to moderate oxidation at the free surface.</w:t>
      </w:r>
      <w:r w:rsidR="00406214">
        <w:t xml:space="preserve"> </w:t>
      </w:r>
      <w:r w:rsidR="00CD71C0">
        <w:t xml:space="preserve">The representation of this free surface should depend on the conditions we wish to simulate. If the free-surface is moving, its tracking is inevitable. </w:t>
      </w:r>
    </w:p>
    <w:p w:rsidR="00140DE0" w:rsidRDefault="00140DE0" w:rsidP="000420C3">
      <w:pPr>
        <w:pStyle w:val="Heading2"/>
      </w:pPr>
      <w:bookmarkStart w:id="6" w:name="_Toc478990069"/>
      <w:r>
        <w:t>Building a numerical model</w:t>
      </w:r>
      <w:bookmarkEnd w:id="6"/>
    </w:p>
    <w:p w:rsidR="00353BD2" w:rsidRDefault="000209E0" w:rsidP="007158EC">
      <w:pPr>
        <w:pStyle w:val="BodyText"/>
      </w:pPr>
      <w:r>
        <w:t xml:space="preserve">After identifying the domain of interest, the next step is to generate </w:t>
      </w:r>
      <w:r w:rsidR="0004378C">
        <w:t xml:space="preserve">its </w:t>
      </w:r>
      <w:r>
        <w:t>discrete representation.</w:t>
      </w:r>
      <w:r w:rsidR="00493EB0">
        <w:t xml:space="preserve"> The technique used should be conformal of the numerical </w:t>
      </w:r>
      <w:proofErr w:type="spellStart"/>
      <w:r w:rsidR="00493EB0">
        <w:t>discretization</w:t>
      </w:r>
      <w:proofErr w:type="spellEnd"/>
      <w:r w:rsidR="00493EB0">
        <w:t xml:space="preserve"> used later on and it should be able to deal with </w:t>
      </w:r>
      <w:r w:rsidR="00353BD2">
        <w:t xml:space="preserve">the complexity and </w:t>
      </w:r>
      <w:r w:rsidR="0004378C">
        <w:t xml:space="preserve">the </w:t>
      </w:r>
      <w:r w:rsidR="00353BD2">
        <w:t xml:space="preserve">expanse </w:t>
      </w:r>
      <w:r w:rsidR="00493EB0">
        <w:t xml:space="preserve">of the geometry to be modelled: the vessels </w:t>
      </w:r>
      <w:r w:rsidR="00353BD2">
        <w:t>together with all their internal structures, result</w:t>
      </w:r>
      <w:r w:rsidR="00493EB0">
        <w:t>ing usually in a large number of mesh</w:t>
      </w:r>
      <w:r w:rsidR="0004378C">
        <w:t xml:space="preserve"> parts</w:t>
      </w:r>
      <w:r w:rsidR="00493EB0">
        <w:t>. T</w:t>
      </w:r>
      <w:r w:rsidR="007801A4">
        <w:t>he difficulty in building the mesh</w:t>
      </w:r>
      <w:r w:rsidR="00493EB0">
        <w:t xml:space="preserve"> is mainly</w:t>
      </w:r>
      <w:r w:rsidR="007801A4">
        <w:t xml:space="preserve"> due to the quite different scales in the domain (fr</w:t>
      </w:r>
      <w:r w:rsidR="00493EB0">
        <w:t>om a few c</w:t>
      </w:r>
      <w:r w:rsidR="0004378C">
        <w:t>enti</w:t>
      </w:r>
      <w:r w:rsidR="00493EB0">
        <w:t>m</w:t>
      </w:r>
      <w:r w:rsidR="0004378C">
        <w:t>etre</w:t>
      </w:r>
      <w:r w:rsidR="00493EB0">
        <w:t>s to several metres).</w:t>
      </w:r>
    </w:p>
    <w:p w:rsidR="00353BD2" w:rsidRPr="000420C3" w:rsidRDefault="00BC5643" w:rsidP="007158EC">
      <w:pPr>
        <w:pStyle w:val="BodyText"/>
      </w:pPr>
      <w:r>
        <w:t>Once the computational mesh is available, we can turn our attention to the computational solver. It has to have validated models, especially models of turbulence, to estimate mixing and stratification, since the direct simulation of all the scales of the flow is still out of reach</w:t>
      </w:r>
      <w:r w:rsidR="00C924FB">
        <w:t>.</w:t>
      </w:r>
      <w:r>
        <w:t xml:space="preserve"> </w:t>
      </w:r>
      <w:r w:rsidR="00C924FB">
        <w:t>Moreover</w:t>
      </w:r>
      <w:r>
        <w:t xml:space="preserve">, </w:t>
      </w:r>
      <w:r w:rsidR="00C924FB">
        <w:t xml:space="preserve">it is </w:t>
      </w:r>
      <w:r>
        <w:t xml:space="preserve">not even reasonable, if one </w:t>
      </w:r>
      <w:r w:rsidR="00C924FB">
        <w:t xml:space="preserve">is </w:t>
      </w:r>
      <w:r>
        <w:t xml:space="preserve">only interested on the general, average fields and </w:t>
      </w:r>
      <w:r>
        <w:lastRenderedPageBreak/>
        <w:t>integral quantities.</w:t>
      </w:r>
      <w:r w:rsidR="00845DBE">
        <w:t xml:space="preserve"> Indeed, the simplification of the given problem should proceed till their effect do</w:t>
      </w:r>
      <w:r w:rsidR="00D32DC0">
        <w:t>es</w:t>
      </w:r>
      <w:r w:rsidR="00845DBE">
        <w:t xml:space="preserve"> not contaminate the solution beyond </w:t>
      </w:r>
      <w:r w:rsidR="00D32DC0">
        <w:t xml:space="preserve">usability. The final challenge to apply CFD for pool type problems lies in </w:t>
      </w:r>
      <w:r w:rsidR="00353BD2">
        <w:t>the need to perform transient calculations</w:t>
      </w:r>
      <w:r w:rsidR="00D32DC0">
        <w:t xml:space="preserve"> if transient problems are considered.</w:t>
      </w:r>
    </w:p>
    <w:p w:rsidR="009E7ED6" w:rsidRPr="0005337A" w:rsidRDefault="00861D95">
      <w:pPr>
        <w:pStyle w:val="Heading1"/>
      </w:pPr>
      <w:bookmarkStart w:id="7" w:name="_Toc478990070"/>
      <w:r>
        <w:t xml:space="preserve">historical overview of pool loops </w:t>
      </w:r>
      <w:r w:rsidR="00224895">
        <w:t xml:space="preserve">CFD </w:t>
      </w:r>
      <w:r>
        <w:t>modelling</w:t>
      </w:r>
      <w:r w:rsidR="00A64230">
        <w:t xml:space="preserve">: the CRS4 </w:t>
      </w:r>
      <w:r w:rsidR="006A06E8">
        <w:t xml:space="preserve">experience and </w:t>
      </w:r>
      <w:r w:rsidR="00A64230">
        <w:t>viewpoint</w:t>
      </w:r>
      <w:bookmarkEnd w:id="7"/>
    </w:p>
    <w:p w:rsidR="0061799D" w:rsidRDefault="007B64A7" w:rsidP="00AF6002">
      <w:pPr>
        <w:pStyle w:val="BodyText"/>
      </w:pPr>
      <w:r>
        <w:t>In the context of Heavy Liquid Metal (HLM) cooled reactors, the first CFD simulation dealing with an entire thermal loop was performed at CRS4 in year 2000</w:t>
      </w:r>
      <w:r w:rsidR="003D4C4E">
        <w:t xml:space="preserve">, using the   </w:t>
      </w:r>
      <w:r w:rsidR="003D4C4E" w:rsidRPr="003D4C4E">
        <w:t>STAR CD® software</w:t>
      </w:r>
      <w:r w:rsidR="003D4C4E">
        <w:t xml:space="preserve"> commercial code</w:t>
      </w:r>
      <w:r>
        <w:t xml:space="preserve">. It was the CFD simulation of </w:t>
      </w:r>
      <w:r w:rsidR="008571AD">
        <w:t xml:space="preserve">a window </w:t>
      </w:r>
      <w:proofErr w:type="spellStart"/>
      <w:r w:rsidR="008571AD">
        <w:t>s</w:t>
      </w:r>
      <w:r w:rsidR="00877053">
        <w:t>pallation</w:t>
      </w:r>
      <w:proofErr w:type="spellEnd"/>
      <w:r w:rsidR="00877053">
        <w:t xml:space="preserve"> target loop</w:t>
      </w:r>
      <w:r w:rsidR="006577FB">
        <w:t xml:space="preserve"> [</w:t>
      </w:r>
      <w:r w:rsidR="00066E55">
        <w:fldChar w:fldCharType="begin"/>
      </w:r>
      <w:r w:rsidR="006577FB">
        <w:instrText xml:space="preserve"> REF _Ref478981823 \r \h </w:instrText>
      </w:r>
      <w:r w:rsidR="00066E55">
        <w:fldChar w:fldCharType="separate"/>
      </w:r>
      <w:r w:rsidR="003B7F32">
        <w:t>2</w:t>
      </w:r>
      <w:r w:rsidR="00066E55">
        <w:fldChar w:fldCharType="end"/>
      </w:r>
      <w:r w:rsidR="006577FB">
        <w:t>]</w:t>
      </w:r>
      <w:r w:rsidR="00877053">
        <w:t>.</w:t>
      </w:r>
    </w:p>
    <w:p w:rsidR="00877053" w:rsidRDefault="00877053" w:rsidP="00AF6002">
      <w:pPr>
        <w:pStyle w:val="BodyText"/>
      </w:pPr>
      <w:r>
        <w:t>The loop was 7m high, driven by buoyancy, heated by a proton beam near the bottom and cooled near the top by a heat exchanger with oil as secondary coolant.</w:t>
      </w:r>
      <w:r w:rsidR="00DB3CCD">
        <w:t xml:space="preserve"> While only a 2D </w:t>
      </w:r>
      <w:r w:rsidR="00235218">
        <w:t xml:space="preserve">(axial-symmetrical) </w:t>
      </w:r>
      <w:r w:rsidR="00DB3CCD">
        <w:t>steady-state loop, it already contained</w:t>
      </w:r>
      <w:r w:rsidR="00235218">
        <w:t xml:space="preserve"> several features of the present argument:</w:t>
      </w:r>
    </w:p>
    <w:p w:rsidR="00235218" w:rsidRDefault="00235218" w:rsidP="007158EC">
      <w:pPr>
        <w:pStyle w:val="BodyText"/>
        <w:numPr>
          <w:ilvl w:val="0"/>
          <w:numId w:val="22"/>
        </w:numPr>
      </w:pPr>
      <w:r>
        <w:t>A closed thermal loop.</w:t>
      </w:r>
    </w:p>
    <w:p w:rsidR="00235218" w:rsidRDefault="00235218" w:rsidP="007158EC">
      <w:pPr>
        <w:pStyle w:val="BodyText"/>
        <w:numPr>
          <w:ilvl w:val="0"/>
          <w:numId w:val="22"/>
        </w:numPr>
      </w:pPr>
      <w:r>
        <w:t xml:space="preserve">Heat source from </w:t>
      </w:r>
      <w:proofErr w:type="spellStart"/>
      <w:r>
        <w:t>Neutronic</w:t>
      </w:r>
      <w:proofErr w:type="spellEnd"/>
      <w:r>
        <w:t xml:space="preserve"> calculation.</w:t>
      </w:r>
    </w:p>
    <w:p w:rsidR="00235218" w:rsidRDefault="00235218" w:rsidP="007158EC">
      <w:pPr>
        <w:pStyle w:val="BodyText"/>
        <w:numPr>
          <w:ilvl w:val="0"/>
          <w:numId w:val="22"/>
        </w:numPr>
      </w:pPr>
      <w:r>
        <w:t>Oil secondary coolant part of the model with thermal exchange on local basis.</w:t>
      </w:r>
    </w:p>
    <w:p w:rsidR="00235218" w:rsidRDefault="00235218" w:rsidP="007158EC">
      <w:pPr>
        <w:pStyle w:val="BodyText"/>
        <w:numPr>
          <w:ilvl w:val="0"/>
          <w:numId w:val="22"/>
        </w:numPr>
      </w:pPr>
      <w:r>
        <w:t>Solid structures modelled and thermally coupled with the fluid.</w:t>
      </w:r>
    </w:p>
    <w:p w:rsidR="007A5CE1" w:rsidRDefault="004128D0" w:rsidP="007158EC">
      <w:pPr>
        <w:pStyle w:val="BodyText"/>
      </w:pPr>
      <w:r>
        <w:t>Model</w:t>
      </w:r>
      <w:r w:rsidR="00FC5FC5">
        <w:t>ling the primary coolant loop of</w:t>
      </w:r>
      <w:r>
        <w:t xml:space="preserve"> a reactor in pool configuration has been</w:t>
      </w:r>
      <w:r w:rsidR="0077354E">
        <w:t xml:space="preserve"> then</w:t>
      </w:r>
      <w:r>
        <w:t xml:space="preserve"> performed in several steps</w:t>
      </w:r>
      <w:r w:rsidR="002554D3">
        <w:t>, all referred to some old precursor of MYRRHA or ALFRED</w:t>
      </w:r>
      <w:r w:rsidR="00091BD5">
        <w:t xml:space="preserve"> with “fancy” names</w:t>
      </w:r>
      <w:r>
        <w:t>.</w:t>
      </w:r>
    </w:p>
    <w:p w:rsidR="002554D3" w:rsidRDefault="002554D3" w:rsidP="007158EC">
      <w:pPr>
        <w:pStyle w:val="BodyText"/>
        <w:numPr>
          <w:ilvl w:val="0"/>
          <w:numId w:val="23"/>
        </w:numPr>
      </w:pPr>
      <w:r>
        <w:t>EADF: “Energy Amplifier Demonstration Facility”</w:t>
      </w:r>
      <w:r w:rsidR="00A238AF">
        <w:t>;</w:t>
      </w:r>
      <w:r>
        <w:t xml:space="preserve"> ¼ of the external part of the loop with one of the four immersed HXs</w:t>
      </w:r>
      <w:r w:rsidR="00964F1F">
        <w:t xml:space="preserve"> (Sept. 2000)</w:t>
      </w:r>
      <w:r w:rsidR="006577FB">
        <w:t xml:space="preserve"> [</w:t>
      </w:r>
      <w:r w:rsidR="00066E55">
        <w:fldChar w:fldCharType="begin"/>
      </w:r>
      <w:r w:rsidR="00A35CA2">
        <w:instrText xml:space="preserve"> REF _Ref478982259 \r \h </w:instrText>
      </w:r>
      <w:r w:rsidR="00066E55">
        <w:fldChar w:fldCharType="separate"/>
      </w:r>
      <w:r w:rsidR="003B7F32">
        <w:t>3</w:t>
      </w:r>
      <w:r w:rsidR="00066E55">
        <w:fldChar w:fldCharType="end"/>
      </w:r>
      <w:r w:rsidR="00A35CA2">
        <w:t>]</w:t>
      </w:r>
      <w:r>
        <w:t>.</w:t>
      </w:r>
    </w:p>
    <w:p w:rsidR="002554D3" w:rsidRDefault="00964F1F" w:rsidP="007158EC">
      <w:pPr>
        <w:pStyle w:val="BodyText"/>
        <w:numPr>
          <w:ilvl w:val="0"/>
          <w:numId w:val="23"/>
        </w:numPr>
      </w:pPr>
      <w:r>
        <w:t>EFIT: “European Facility for Industrial Transmutation</w:t>
      </w:r>
      <w:r w:rsidR="00A238AF">
        <w:t>; (</w:t>
      </w:r>
      <w:proofErr w:type="spellStart"/>
      <w:r w:rsidR="00A238AF">
        <w:t>i</w:t>
      </w:r>
      <w:proofErr w:type="spellEnd"/>
      <w:r w:rsidR="00A238AF">
        <w:t xml:space="preserve">) hot plenum (1/4), (ii) bottom plenum (1/12) and (iii) outer plenum (1/8) with ½ </w:t>
      </w:r>
      <w:proofErr w:type="gramStart"/>
      <w:r w:rsidR="00A238AF">
        <w:t>pump</w:t>
      </w:r>
      <w:proofErr w:type="gramEnd"/>
      <w:r w:rsidR="00A238AF">
        <w:t xml:space="preserve">, 1 HX and ½ DHR… </w:t>
      </w:r>
      <w:r w:rsidR="00DA5771">
        <w:t xml:space="preserve">FP6 </w:t>
      </w:r>
      <w:r w:rsidR="00A238AF">
        <w:t>EUROT</w:t>
      </w:r>
      <w:r w:rsidR="00DA5771">
        <w:t xml:space="preserve">RANS IP framework (2005-2010) </w:t>
      </w:r>
      <w:r w:rsidR="00A238AF">
        <w:t>presented at ICONE-17 (2009)</w:t>
      </w:r>
      <w:r w:rsidR="00E254D2">
        <w:t xml:space="preserve"> [</w:t>
      </w:r>
      <w:r w:rsidR="00066E55">
        <w:fldChar w:fldCharType="begin"/>
      </w:r>
      <w:r w:rsidR="00E254D2">
        <w:instrText xml:space="preserve"> REF _Ref478982792 \r \h </w:instrText>
      </w:r>
      <w:r w:rsidR="00066E55">
        <w:fldChar w:fldCharType="separate"/>
      </w:r>
      <w:r w:rsidR="003B7F32">
        <w:t>4</w:t>
      </w:r>
      <w:r w:rsidR="00066E55">
        <w:fldChar w:fldCharType="end"/>
      </w:r>
      <w:r w:rsidR="00E254D2">
        <w:t>]</w:t>
      </w:r>
      <w:r w:rsidR="00A238AF">
        <w:t>.</w:t>
      </w:r>
    </w:p>
    <w:p w:rsidR="009C18D6" w:rsidRDefault="00A238AF" w:rsidP="007158EC">
      <w:pPr>
        <w:pStyle w:val="BodyText"/>
        <w:numPr>
          <w:ilvl w:val="0"/>
          <w:numId w:val="23"/>
        </w:numPr>
      </w:pPr>
      <w:r>
        <w:t>XT-ADS</w:t>
      </w:r>
      <w:r w:rsidR="00486F94">
        <w:t>:</w:t>
      </w:r>
      <w:r>
        <w:t xml:space="preserve"> </w:t>
      </w:r>
      <w:r w:rsidR="00486F94">
        <w:t>“</w:t>
      </w:r>
      <w:proofErr w:type="spellStart"/>
      <w:r w:rsidRPr="00A238AF">
        <w:t>eXperimenTal</w:t>
      </w:r>
      <w:proofErr w:type="spellEnd"/>
      <w:r w:rsidRPr="00A238AF">
        <w:t>-ADS</w:t>
      </w:r>
      <w:r w:rsidR="00486F94">
        <w:t>”; ½ of the entire pool loop including the nuclear core also EUROTRANS IP framework presented at ICONE-17 (2009).</w:t>
      </w:r>
    </w:p>
    <w:p w:rsidR="00923231" w:rsidRDefault="00923231" w:rsidP="007158EC">
      <w:pPr>
        <w:pStyle w:val="BodyText"/>
        <w:numPr>
          <w:ilvl w:val="0"/>
          <w:numId w:val="23"/>
        </w:numPr>
      </w:pPr>
      <w:r>
        <w:t xml:space="preserve">FASTEF: “Fast-Spectrum Transmutation Experimental Facility”; ½ of an entire isothermal fake loop to simulate with </w:t>
      </w:r>
      <w:proofErr w:type="spellStart"/>
      <w:r>
        <w:t>VoF</w:t>
      </w:r>
      <w:proofErr w:type="spellEnd"/>
      <w:r>
        <w:t xml:space="preserve"> an HX tube </w:t>
      </w:r>
      <w:proofErr w:type="gramStart"/>
      <w:r>
        <w:t>rupture</w:t>
      </w:r>
      <w:proofErr w:type="gramEnd"/>
      <w:r>
        <w:t>.</w:t>
      </w:r>
      <w:r w:rsidR="00BB2C2D">
        <w:t xml:space="preserve"> CDT FP7 European project</w:t>
      </w:r>
      <w:r w:rsidR="00DA5771">
        <w:t xml:space="preserve"> (2009-2012)</w:t>
      </w:r>
      <w:r w:rsidR="00E254D2">
        <w:t xml:space="preserve"> [</w:t>
      </w:r>
      <w:r w:rsidR="00066E55">
        <w:fldChar w:fldCharType="begin"/>
      </w:r>
      <w:r w:rsidR="00E254D2">
        <w:instrText xml:space="preserve"> REF _Ref478983182 \r \h </w:instrText>
      </w:r>
      <w:r w:rsidR="00066E55">
        <w:fldChar w:fldCharType="separate"/>
      </w:r>
      <w:r w:rsidR="003B7F32">
        <w:t>5</w:t>
      </w:r>
      <w:r w:rsidR="00066E55">
        <w:fldChar w:fldCharType="end"/>
      </w:r>
      <w:r w:rsidR="00E254D2">
        <w:t>].</w:t>
      </w:r>
    </w:p>
    <w:p w:rsidR="00242E13" w:rsidRDefault="00242E13" w:rsidP="007158EC">
      <w:pPr>
        <w:pStyle w:val="BodyText"/>
      </w:pPr>
      <w:r>
        <w:t xml:space="preserve">With </w:t>
      </w:r>
      <w:r w:rsidR="0077354E">
        <w:t>all the CFD features experienced</w:t>
      </w:r>
      <w:r>
        <w:t xml:space="preserve"> in this list of simulation</w:t>
      </w:r>
      <w:r w:rsidR="001C0654">
        <w:t>s</w:t>
      </w:r>
      <w:r>
        <w:t xml:space="preserve">, and taking profit of the always increasing computer power, it began to be clear that a sound CFD modelling </w:t>
      </w:r>
      <w:r w:rsidR="00CD7FE3">
        <w:t xml:space="preserve">of the </w:t>
      </w:r>
      <w:r w:rsidR="00CD7FE3">
        <w:lastRenderedPageBreak/>
        <w:t>entire primary coolant loop of a HLM reactor, including all the main relevant physical features, was becoming effectively realizable.</w:t>
      </w:r>
    </w:p>
    <w:p w:rsidR="00CD7FE3" w:rsidRDefault="00CD7FE3" w:rsidP="007158EC">
      <w:pPr>
        <w:pStyle w:val="BodyText"/>
      </w:pPr>
      <w:r>
        <w:t>And indeed, the effective realization was performed in the framework of the SEARCH FP7 European project</w:t>
      </w:r>
      <w:r w:rsidR="00DA5771">
        <w:t xml:space="preserve"> (2011-2015)</w:t>
      </w:r>
      <w:r>
        <w:t>, as pre-requisite of a fuel dispersion study.</w:t>
      </w:r>
      <w:r w:rsidR="006B2856">
        <w:t xml:space="preserve"> That is, it took approximately 12 years to complete the jump from 2D to 3D CFD models of thermal loops in pool configuration.</w:t>
      </w:r>
    </w:p>
    <w:p w:rsidR="00224895" w:rsidRDefault="00DA5771" w:rsidP="007158EC">
      <w:pPr>
        <w:pStyle w:val="BodyText"/>
      </w:pPr>
      <w:r>
        <w:t xml:space="preserve">We now give a closer look at </w:t>
      </w:r>
      <w:r w:rsidR="00514282">
        <w:t>what are now historical studies and we will take the occasion to see spontaneously appear and introduce many of the delicate features involved in the pool loop CFD.</w:t>
      </w:r>
    </w:p>
    <w:p w:rsidR="00DA5771" w:rsidRDefault="00DA5771" w:rsidP="00DA5771">
      <w:pPr>
        <w:pStyle w:val="Heading2"/>
      </w:pPr>
      <w:bookmarkStart w:id="8" w:name="_Toc478990071"/>
      <w:r>
        <w:t xml:space="preserve">A window type </w:t>
      </w:r>
      <w:proofErr w:type="spellStart"/>
      <w:r>
        <w:t>spallation</w:t>
      </w:r>
      <w:proofErr w:type="spellEnd"/>
      <w:r>
        <w:t xml:space="preserve"> </w:t>
      </w:r>
      <w:r w:rsidR="007158EC">
        <w:t>target for</w:t>
      </w:r>
      <w:r>
        <w:t xml:space="preserve"> the “Energy Amplifier” (CRS4, 2000)</w:t>
      </w:r>
      <w:bookmarkEnd w:id="8"/>
    </w:p>
    <w:p w:rsidR="001A761C" w:rsidRDefault="00DA5771" w:rsidP="007158EC">
      <w:pPr>
        <w:pStyle w:val="BodyText"/>
      </w:pPr>
      <w:r>
        <w:t xml:space="preserve">The Energy Amplifier concept was introduced to </w:t>
      </w:r>
      <w:r w:rsidR="007158EC">
        <w:t>CRS4 by</w:t>
      </w:r>
      <w:r>
        <w:t xml:space="preserve"> Carlo Rubbia </w:t>
      </w:r>
      <w:r w:rsidR="001A761C">
        <w:t xml:space="preserve">in </w:t>
      </w:r>
      <w:r>
        <w:t xml:space="preserve">1997. At this occasion, a research group on this topic </w:t>
      </w:r>
      <w:r w:rsidR="001A761C">
        <w:t xml:space="preserve">has been formed </w:t>
      </w:r>
      <w:r>
        <w:t xml:space="preserve">at CRS4. </w:t>
      </w:r>
    </w:p>
    <w:p w:rsidR="00DA5771" w:rsidRDefault="00DA5771" w:rsidP="007158EC">
      <w:pPr>
        <w:pStyle w:val="BodyText"/>
      </w:pPr>
      <w:r>
        <w:t xml:space="preserve">The basic idea  is  to couple  a  proton  beam  to  a  subcritical  nuclear  reactor.  The beam is produced </w:t>
      </w:r>
      <w:r w:rsidR="00091BD5">
        <w:t>by</w:t>
      </w:r>
      <w:r>
        <w:t xml:space="preserve"> a dedicated particle accelerator and must be guided inside the core under deep vacuum. The </w:t>
      </w:r>
      <w:r w:rsidR="007158EC">
        <w:t>beam enters the core region from the top through a solid thin interface called the target window, and interacts</w:t>
      </w:r>
      <w:r>
        <w:t xml:space="preserve"> with the material behind to create a first generation of neutrons. The interaction region is called the </w:t>
      </w:r>
      <w:proofErr w:type="spellStart"/>
      <w:r>
        <w:t>spallation</w:t>
      </w:r>
      <w:proofErr w:type="spellEnd"/>
      <w:r>
        <w:t xml:space="preserve"> target and must be at the </w:t>
      </w:r>
      <w:r w:rsidR="001A761C">
        <w:t>centre</w:t>
      </w:r>
      <w:r>
        <w:t xml:space="preserve"> of the nuclear core. The first </w:t>
      </w:r>
      <w:r w:rsidR="007158EC">
        <w:t>generation of neutrons diffuses through the core active region and produces</w:t>
      </w:r>
      <w:r w:rsidR="001A761C">
        <w:t xml:space="preserve"> a sub-</w:t>
      </w:r>
      <w:r>
        <w:t xml:space="preserve">critical chain reaction. The system must be designed such that any initial </w:t>
      </w:r>
      <w:r w:rsidR="000D5A6A">
        <w:t>nuclear reaction</w:t>
      </w:r>
      <w:r>
        <w:t xml:space="preserve"> should produce directly betw</w:t>
      </w:r>
      <w:r w:rsidR="000D5A6A">
        <w:t>een 0.95 and 0.98 other nuclear reaction</w:t>
      </w:r>
      <w:r>
        <w:t xml:space="preserve">. The material chosen for the </w:t>
      </w:r>
      <w:proofErr w:type="spellStart"/>
      <w:r>
        <w:t>spallation</w:t>
      </w:r>
      <w:proofErr w:type="spellEnd"/>
      <w:r>
        <w:t xml:space="preserve"> target and also for the primary </w:t>
      </w:r>
      <w:r w:rsidR="001A761C">
        <w:t>coolant</w:t>
      </w:r>
      <w:r>
        <w:t xml:space="preserve"> is molten Lead or molten Lead-</w:t>
      </w:r>
      <w:r w:rsidR="001A761C">
        <w:t xml:space="preserve">Bismuth </w:t>
      </w:r>
      <w:r w:rsidR="00E87CD1">
        <w:t>Eutectic</w:t>
      </w:r>
      <w:r w:rsidR="001A761C">
        <w:t xml:space="preserve"> (LBE)</w:t>
      </w:r>
      <w:r>
        <w:t>.</w:t>
      </w:r>
    </w:p>
    <w:p w:rsidR="001E2DF2" w:rsidRDefault="001E2DF2" w:rsidP="007158EC">
      <w:pPr>
        <w:pStyle w:val="BodyText"/>
      </w:pPr>
      <w:r>
        <w:t>A</w:t>
      </w:r>
      <w:r w:rsidR="007158EC">
        <w:t>t</w:t>
      </w:r>
      <w:r>
        <w:t xml:space="preserve"> this time, the </w:t>
      </w:r>
      <w:proofErr w:type="spellStart"/>
      <w:r>
        <w:t>spallation</w:t>
      </w:r>
      <w:proofErr w:type="spellEnd"/>
      <w:r>
        <w:t xml:space="preserve"> target was thought as a system independent of the core system and whose characteristic dimensions are 7 m high for 55 cm diameter. A sketch of the system is shown in </w:t>
      </w:r>
      <w:fldSimple w:instr=" REF _Ref477764904 \h  \* MERGEFORMAT ">
        <w:r w:rsidR="003B7F32">
          <w:t>Figure 2</w:t>
        </w:r>
      </w:fldSimple>
      <w:r w:rsidR="00A5554A">
        <w:t xml:space="preserve">, together with the mesh and the heat deposition in the </w:t>
      </w:r>
      <w:proofErr w:type="spellStart"/>
      <w:r w:rsidR="00A5554A">
        <w:t>spallation</w:t>
      </w:r>
      <w:proofErr w:type="spellEnd"/>
      <w:r w:rsidR="00A5554A">
        <w:t xml:space="preserve"> region. In </w:t>
      </w:r>
      <w:fldSimple w:instr=" REF _Ref477765255 \h  \* MERGEFORMAT ">
        <w:r w:rsidR="003B7F32">
          <w:t>Figure 3</w:t>
        </w:r>
      </w:fldSimple>
      <w:r w:rsidR="00A5554A">
        <w:t>, we show the temperature field below the target on the left and</w:t>
      </w:r>
      <w:r w:rsidR="00D415F7">
        <w:t>, at the heat exchanger level</w:t>
      </w:r>
      <w:r w:rsidR="00A5554A">
        <w:t>,</w:t>
      </w:r>
      <w:r w:rsidR="00D415F7">
        <w:t xml:space="preserve"> from left to right</w:t>
      </w:r>
      <w:r w:rsidR="00A5554A">
        <w:t xml:space="preserve"> the temperature </w:t>
      </w:r>
      <w:r w:rsidR="00D415F7">
        <w:t>of</w:t>
      </w:r>
      <w:r w:rsidR="00A5554A">
        <w:t xml:space="preserve"> the rising LBE</w:t>
      </w:r>
      <w:r w:rsidR="00D415F7">
        <w:t>, of the down-coming LBE, of the rising oil and of the down-coming oil (bayonet tubes).</w:t>
      </w:r>
    </w:p>
    <w:p w:rsidR="001E2DF2" w:rsidRDefault="001E2DF2" w:rsidP="00DA5771"/>
    <w:p w:rsidR="001E2DF2" w:rsidRDefault="001E2DF2" w:rsidP="00037A15">
      <w:pPr>
        <w:keepNext/>
        <w:jc w:val="center"/>
      </w:pPr>
      <w:r>
        <w:rPr>
          <w:noProof/>
          <w:lang w:eastAsia="en-GB"/>
        </w:rPr>
        <w:lastRenderedPageBreak/>
        <w:drawing>
          <wp:inline distT="0" distB="0" distL="0" distR="0">
            <wp:extent cx="1615314" cy="2609850"/>
            <wp:effectExtent l="0" t="0" r="444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TargetSketch.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20522" cy="2618264"/>
                    </a:xfrm>
                    <a:prstGeom prst="rect">
                      <a:avLst/>
                    </a:prstGeom>
                  </pic:spPr>
                </pic:pic>
              </a:graphicData>
            </a:graphic>
          </wp:inline>
        </w:drawing>
      </w:r>
      <w:r>
        <w:rPr>
          <w:noProof/>
          <w:lang w:eastAsia="en-GB"/>
        </w:rPr>
        <w:drawing>
          <wp:inline distT="0" distB="0" distL="0" distR="0">
            <wp:extent cx="1115524" cy="2532300"/>
            <wp:effectExtent l="0" t="0" r="8890" b="190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TargetMesh.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16090" cy="2533585"/>
                    </a:xfrm>
                    <a:prstGeom prst="rect">
                      <a:avLst/>
                    </a:prstGeom>
                  </pic:spPr>
                </pic:pic>
              </a:graphicData>
            </a:graphic>
          </wp:inline>
        </w:drawing>
      </w:r>
      <w:r w:rsidR="00A5554A">
        <w:rPr>
          <w:noProof/>
          <w:lang w:eastAsia="en-GB"/>
        </w:rPr>
        <w:drawing>
          <wp:inline distT="0" distB="0" distL="0" distR="0">
            <wp:extent cx="2666922" cy="2152650"/>
            <wp:effectExtent l="0" t="0" r="63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TargetFlukaHS.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67286" cy="2152944"/>
                    </a:xfrm>
                    <a:prstGeom prst="rect">
                      <a:avLst/>
                    </a:prstGeom>
                  </pic:spPr>
                </pic:pic>
              </a:graphicData>
            </a:graphic>
          </wp:inline>
        </w:drawing>
      </w:r>
    </w:p>
    <w:p w:rsidR="001E2DF2" w:rsidRDefault="001E2DF2" w:rsidP="00037A15">
      <w:pPr>
        <w:pStyle w:val="Caption"/>
        <w:jc w:val="center"/>
      </w:pPr>
      <w:bookmarkStart w:id="9" w:name="_Ref477764904"/>
      <w:r>
        <w:t xml:space="preserve">Figure </w:t>
      </w:r>
      <w:r w:rsidR="00066E55">
        <w:fldChar w:fldCharType="begin"/>
      </w:r>
      <w:r>
        <w:instrText xml:space="preserve"> SEQ Figure \* ARABIC </w:instrText>
      </w:r>
      <w:r w:rsidR="00066E55">
        <w:fldChar w:fldCharType="separate"/>
      </w:r>
      <w:r w:rsidR="003B7F32">
        <w:rPr>
          <w:noProof/>
        </w:rPr>
        <w:t>2</w:t>
      </w:r>
      <w:r w:rsidR="00066E55">
        <w:fldChar w:fldCharType="end"/>
      </w:r>
      <w:bookmarkEnd w:id="9"/>
      <w:r>
        <w:t xml:space="preserve">: </w:t>
      </w:r>
      <w:r w:rsidR="00A5554A">
        <w:t>from left to right,</w:t>
      </w:r>
      <w:r w:rsidR="00D415F7">
        <w:t xml:space="preserve"> </w:t>
      </w:r>
      <w:r>
        <w:t xml:space="preserve">sketch of the </w:t>
      </w:r>
      <w:proofErr w:type="spellStart"/>
      <w:r>
        <w:t>spallation</w:t>
      </w:r>
      <w:proofErr w:type="spellEnd"/>
      <w:r>
        <w:t xml:space="preserve"> target system</w:t>
      </w:r>
      <w:r w:rsidR="00A5554A">
        <w:t>, mesh and heat source.</w:t>
      </w:r>
    </w:p>
    <w:p w:rsidR="00AF7562" w:rsidRDefault="00A5554A" w:rsidP="00037A15">
      <w:pPr>
        <w:keepNext/>
        <w:jc w:val="center"/>
      </w:pPr>
      <w:r>
        <w:rPr>
          <w:noProof/>
          <w:lang w:eastAsia="en-GB"/>
        </w:rPr>
        <w:drawing>
          <wp:inline distT="0" distB="0" distL="0" distR="0">
            <wp:extent cx="2790825" cy="2331739"/>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TargetTemperature.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6486" cy="2336468"/>
                    </a:xfrm>
                    <a:prstGeom prst="rect">
                      <a:avLst/>
                    </a:prstGeom>
                  </pic:spPr>
                </pic:pic>
              </a:graphicData>
            </a:graphic>
          </wp:inline>
        </w:drawing>
      </w:r>
      <w:r w:rsidR="00AF7562">
        <w:rPr>
          <w:noProof/>
          <w:lang w:eastAsia="en-GB"/>
        </w:rPr>
        <w:drawing>
          <wp:inline distT="0" distB="0" distL="0" distR="0">
            <wp:extent cx="2600116" cy="2481434"/>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TargetHX_Temperature.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3846" cy="2484994"/>
                    </a:xfrm>
                    <a:prstGeom prst="rect">
                      <a:avLst/>
                    </a:prstGeom>
                  </pic:spPr>
                </pic:pic>
              </a:graphicData>
            </a:graphic>
          </wp:inline>
        </w:drawing>
      </w:r>
    </w:p>
    <w:p w:rsidR="00AF7562" w:rsidRDefault="00AF7562" w:rsidP="00037A15">
      <w:pPr>
        <w:pStyle w:val="Caption"/>
        <w:jc w:val="center"/>
      </w:pPr>
      <w:bookmarkStart w:id="10" w:name="_Ref477765255"/>
      <w:r>
        <w:t xml:space="preserve">Figure </w:t>
      </w:r>
      <w:r w:rsidR="00066E55">
        <w:fldChar w:fldCharType="begin"/>
      </w:r>
      <w:r>
        <w:instrText xml:space="preserve"> SEQ Figure \* ARABIC </w:instrText>
      </w:r>
      <w:r w:rsidR="00066E55">
        <w:fldChar w:fldCharType="separate"/>
      </w:r>
      <w:r w:rsidR="003B7F32">
        <w:rPr>
          <w:noProof/>
        </w:rPr>
        <w:t>3</w:t>
      </w:r>
      <w:r w:rsidR="00066E55">
        <w:fldChar w:fldCharType="end"/>
      </w:r>
      <w:bookmarkEnd w:id="10"/>
      <w:r>
        <w:t xml:space="preserve">: </w:t>
      </w:r>
      <w:proofErr w:type="spellStart"/>
      <w:r>
        <w:t>spallation</w:t>
      </w:r>
      <w:proofErr w:type="spellEnd"/>
      <w:r>
        <w:t xml:space="preserve"> target model. Left: volumetric heat source from FLUKA calculation. Right: top of the CFD model with from left to right, the temperature of the (</w:t>
      </w:r>
      <w:proofErr w:type="spellStart"/>
      <w:r>
        <w:t>i</w:t>
      </w:r>
      <w:proofErr w:type="spellEnd"/>
      <w:r>
        <w:t>) rising LBE, (ii)down-coming LBE</w:t>
      </w:r>
      <w:r w:rsidR="00D415F7">
        <w:t>.</w:t>
      </w:r>
    </w:p>
    <w:p w:rsidR="00D415F7" w:rsidRDefault="000D5A6A" w:rsidP="00D415F7">
      <w:pPr>
        <w:pStyle w:val="BodyText"/>
      </w:pPr>
      <w:r>
        <w:t>Besides</w:t>
      </w:r>
      <w:r w:rsidR="00D415F7">
        <w:t xml:space="preserve"> the approximations imposed by the axial-symmetrical constraint, this simulation already exhibits features that are recurrent in pool loop modelling:</w:t>
      </w:r>
    </w:p>
    <w:p w:rsidR="00D415F7" w:rsidRDefault="00D415F7" w:rsidP="00A22FB0">
      <w:pPr>
        <w:pStyle w:val="BodyText"/>
        <w:numPr>
          <w:ilvl w:val="0"/>
          <w:numId w:val="24"/>
        </w:numPr>
      </w:pPr>
      <w:r>
        <w:t xml:space="preserve">The target thermal coupling with the </w:t>
      </w:r>
      <w:proofErr w:type="spellStart"/>
      <w:r>
        <w:t>spallation</w:t>
      </w:r>
      <w:proofErr w:type="spellEnd"/>
      <w:r>
        <w:t xml:space="preserve"> beam comes from a separate calculation from the </w:t>
      </w:r>
      <w:proofErr w:type="spellStart"/>
      <w:r>
        <w:t>neutronic</w:t>
      </w:r>
      <w:proofErr w:type="spellEnd"/>
      <w:r>
        <w:t xml:space="preserve"> code FLUKA, performed with its own standard of rules and on a different computational grid. With high concentration grad</w:t>
      </w:r>
      <w:r w:rsidR="00A22FB0">
        <w:t>ients, it is very easy to bring</w:t>
      </w:r>
      <w:r>
        <w:t xml:space="preserve"> consistent errors from grid to grid </w:t>
      </w:r>
      <w:r w:rsidR="003B0D34">
        <w:t>interpolation, even leading to a noticeable discrepancy in the total heat source.</w:t>
      </w:r>
    </w:p>
    <w:p w:rsidR="003B0D34" w:rsidRDefault="003B0D34" w:rsidP="00A22FB0">
      <w:pPr>
        <w:pStyle w:val="BodyText"/>
        <w:numPr>
          <w:ilvl w:val="0"/>
          <w:numId w:val="24"/>
        </w:numPr>
      </w:pPr>
      <w:r>
        <w:t>The temperature below the window but outside the central funnel is due to the combination of three factors: (</w:t>
      </w:r>
      <w:proofErr w:type="spellStart"/>
      <w:r>
        <w:t>i</w:t>
      </w:r>
      <w:proofErr w:type="spellEnd"/>
      <w:r>
        <w:t xml:space="preserve">) heat conduction through the walls, (ii) heat deposition </w:t>
      </w:r>
      <w:r>
        <w:lastRenderedPageBreak/>
        <w:t xml:space="preserve">by </w:t>
      </w:r>
      <w:proofErr w:type="spellStart"/>
      <w:r>
        <w:t>spallation</w:t>
      </w:r>
      <w:proofErr w:type="spellEnd"/>
      <w:r>
        <w:t xml:space="preserve"> and (iii) an almost still flow recirculation zone. The heat deposition is quite low, too low to be seen on a linear scale but still accumulating. The fact is that </w:t>
      </w:r>
      <w:r w:rsidR="00FC1819">
        <w:t xml:space="preserve">in condition of very small or </w:t>
      </w:r>
      <w:r w:rsidR="000D5A6A">
        <w:t>lacking</w:t>
      </w:r>
      <w:r w:rsidR="00FC1819">
        <w:t xml:space="preserve"> convection, then conduction and/or</w:t>
      </w:r>
      <w:r w:rsidR="006E14B9">
        <w:t xml:space="preserve"> slight volumetric heat sources</w:t>
      </w:r>
      <w:r>
        <w:t xml:space="preserve"> </w:t>
      </w:r>
      <w:r w:rsidR="00FC1819">
        <w:t>can lead to unexpected local high temperatures.</w:t>
      </w:r>
    </w:p>
    <w:p w:rsidR="00FC1819" w:rsidRDefault="00096143" w:rsidP="00A22FB0">
      <w:pPr>
        <w:pStyle w:val="BodyText"/>
        <w:numPr>
          <w:ilvl w:val="0"/>
          <w:numId w:val="24"/>
        </w:numPr>
      </w:pPr>
      <w:r>
        <w:t>The modelling of the heat exchangers is still an on-going process. It must be relevant to the case under study. It was already clear at this time that a simp</w:t>
      </w:r>
      <w:r w:rsidR="006E14B9">
        <w:t>le volumetric heat sink was not</w:t>
      </w:r>
      <w:r>
        <w:t xml:space="preserve"> suitable, as it may create artificial cold zones. In this case, a very simple representation of the secondary coolant has been modelled with the inlet of the rising le</w:t>
      </w:r>
      <w:r w:rsidR="000D5A6A">
        <w:t>g</w:t>
      </w:r>
      <w:r>
        <w:t xml:space="preserve"> thermally coupled to the outlet of the down-coming leg. Thermal exchange is performed between the two oil legs and between </w:t>
      </w:r>
      <w:r w:rsidR="00BB0835">
        <w:t xml:space="preserve">the rising oil leg and the down-coming LBE on a cell by cell basis considering the same height and a constant lateral offset. It was not possible at that time to place two legs at the same place as it is now in CFX/Fluent and also recently in </w:t>
      </w:r>
      <w:proofErr w:type="spellStart"/>
      <w:r w:rsidR="008844C8">
        <w:t>Starccm</w:t>
      </w:r>
      <w:proofErr w:type="spellEnd"/>
      <w:r w:rsidR="00BB0835">
        <w:t>+, within the porous media setting.</w:t>
      </w:r>
    </w:p>
    <w:p w:rsidR="00BB0835" w:rsidRDefault="001A11A5" w:rsidP="00BB0835">
      <w:pPr>
        <w:pStyle w:val="Heading2"/>
      </w:pPr>
      <w:bookmarkStart w:id="11" w:name="_Toc478990072"/>
      <w:r>
        <w:t>EADF: “Energy Amplifier Demo</w:t>
      </w:r>
      <w:r w:rsidR="00BB0835">
        <w:t>nstra</w:t>
      </w:r>
      <w:r>
        <w:t>tion Facility” down-comer (2000, CRS4)</w:t>
      </w:r>
      <w:bookmarkEnd w:id="11"/>
    </w:p>
    <w:p w:rsidR="001A11A5" w:rsidRDefault="001A11A5" w:rsidP="00321B5A">
      <w:pPr>
        <w:pStyle w:val="BodyText"/>
      </w:pPr>
      <w:r>
        <w:t>The EADF reflect the ADS concept as proposed by C. Rubbia and at the origin of the CRS4 related research group in 1997. Besides the Window Target System, the group studied the EADF vessel down-comer</w:t>
      </w:r>
      <w:r w:rsidR="00091BD5">
        <w:t xml:space="preserve"> under the direct supervision of </w:t>
      </w:r>
      <w:proofErr w:type="spellStart"/>
      <w:r w:rsidR="00091BD5">
        <w:t>Ansaldo</w:t>
      </w:r>
      <w:proofErr w:type="spellEnd"/>
      <w:r w:rsidR="000D5A6A">
        <w:t xml:space="preserve"> (see sketch in </w:t>
      </w:r>
      <w:fldSimple w:instr=" REF _Ref477786889 \h  \* MERGEFORMAT ">
        <w:r w:rsidR="003B7F32">
          <w:t>Figure 4</w:t>
        </w:r>
      </w:fldSimple>
      <w:r w:rsidR="000D5A6A">
        <w:t>)</w:t>
      </w:r>
      <w:r>
        <w:t>.</w:t>
      </w:r>
      <w:r w:rsidR="000D5A6A">
        <w:t xml:space="preserve"> The down-comer is made of </w:t>
      </w:r>
      <w:r w:rsidR="00874419">
        <w:t>several parts. First, t</w:t>
      </w:r>
      <w:r w:rsidR="00982960">
        <w:t>he flow enters the outer plenum rising through a series of vertical pipes. An HX is immersed in the plenum and the LBE flow is expected to enter by the top and exit at the bottom, driven by natural convection. The bottom of the outer plenum is then separated from a volume below the core by a bottom grid, delimiting the outlet of the computational domain.</w:t>
      </w:r>
    </w:p>
    <w:p w:rsidR="00126C40" w:rsidRDefault="001A11A5" w:rsidP="00321B5A">
      <w:pPr>
        <w:pStyle w:val="BodyText"/>
        <w:numPr>
          <w:ilvl w:val="0"/>
          <w:numId w:val="25"/>
        </w:numPr>
      </w:pPr>
      <w:r>
        <w:t>Passing from a 2D CFD analysis to a 3D one</w:t>
      </w:r>
      <w:r w:rsidR="00982960">
        <w:t xml:space="preserve"> was quite a challenge and </w:t>
      </w:r>
      <w:r>
        <w:t xml:space="preserve"> </w:t>
      </w:r>
      <w:r w:rsidR="00982960">
        <w:t>a</w:t>
      </w:r>
      <w:r w:rsidR="007637A6">
        <w:t>s the computational power was t</w:t>
      </w:r>
      <w:r w:rsidR="00982960">
        <w:t xml:space="preserve">he same </w:t>
      </w:r>
      <w:r w:rsidR="00126C40">
        <w:t>as for the target, something had to be paid for:</w:t>
      </w:r>
    </w:p>
    <w:p w:rsidR="001A11A5" w:rsidRDefault="00126C40" w:rsidP="00321B5A">
      <w:pPr>
        <w:pStyle w:val="BodyText"/>
        <w:numPr>
          <w:ilvl w:val="0"/>
          <w:numId w:val="25"/>
        </w:numPr>
      </w:pPr>
      <w:r>
        <w:t>Operating a slight regularisation of the design, only ¼ of the physical domain was simulated. Reduction to 1/8 was considered excessive. In the quarter considered, there are 6 rising tubes and one entire HX</w:t>
      </w:r>
      <w:r w:rsidR="009B1F9B">
        <w:t xml:space="preserve">, as shown in </w:t>
      </w:r>
      <w:fldSimple w:instr=" REF _Ref477786889 \h  \* MERGEFORMAT ">
        <w:r w:rsidR="003B7F32">
          <w:t>Figure 4</w:t>
        </w:r>
      </w:fldSimple>
      <w:r>
        <w:t>.</w:t>
      </w:r>
    </w:p>
    <w:p w:rsidR="00126C40" w:rsidRDefault="00126C40" w:rsidP="00321B5A">
      <w:pPr>
        <w:pStyle w:val="BodyText"/>
        <w:numPr>
          <w:ilvl w:val="0"/>
          <w:numId w:val="25"/>
        </w:numPr>
      </w:pPr>
      <w:r>
        <w:t>The structural parts are represented by impermeable 2D membranes, called shells or baffles.</w:t>
      </w:r>
    </w:p>
    <w:p w:rsidR="00126C40" w:rsidRDefault="00126C40" w:rsidP="00321B5A">
      <w:pPr>
        <w:pStyle w:val="BodyText"/>
        <w:numPr>
          <w:ilvl w:val="0"/>
          <w:numId w:val="25"/>
        </w:numPr>
      </w:pPr>
      <w:r>
        <w:t xml:space="preserve">The domain outlet consists in several disconnected holes. These holes have been merged in a single horizontal </w:t>
      </w:r>
      <w:r w:rsidR="00BB4303">
        <w:t>layer;</w:t>
      </w:r>
      <w:r w:rsidR="009B1F9B">
        <w:t xml:space="preserve"> see also </w:t>
      </w:r>
      <w:fldSimple w:instr=" REF _Ref477786955 \h  \* MERGEFORMAT ">
        <w:r w:rsidR="003B7F32">
          <w:t>Figure 5</w:t>
        </w:r>
      </w:fldSimple>
      <w:r w:rsidR="009B1F9B">
        <w:t>, right</w:t>
      </w:r>
      <w:r>
        <w:t>.</w:t>
      </w:r>
    </w:p>
    <w:p w:rsidR="00126C40" w:rsidRDefault="007637A6" w:rsidP="00321B5A">
      <w:pPr>
        <w:pStyle w:val="BodyText"/>
        <w:numPr>
          <w:ilvl w:val="0"/>
          <w:numId w:val="25"/>
        </w:numPr>
      </w:pPr>
      <w:r>
        <w:t>The mesh is almost entirely structured by parts in a series of vertical layers, trying to keep the minimum acceptable number of cells.</w:t>
      </w:r>
    </w:p>
    <w:p w:rsidR="007637A6" w:rsidRDefault="007637A6" w:rsidP="00321B5A">
      <w:pPr>
        <w:pStyle w:val="BodyText"/>
        <w:numPr>
          <w:ilvl w:val="0"/>
          <w:numId w:val="25"/>
        </w:numPr>
      </w:pPr>
      <w:r>
        <w:lastRenderedPageBreak/>
        <w:t>Mesh conformity could not be enforced with the curved bottom part of the domain</w:t>
      </w:r>
      <w:r w:rsidR="00874419">
        <w:t xml:space="preserve"> and with the structure supporting the pipes</w:t>
      </w:r>
      <w:r>
        <w:t>.</w:t>
      </w:r>
      <w:r w:rsidR="00091BD5">
        <w:t xml:space="preserve"> </w:t>
      </w:r>
    </w:p>
    <w:p w:rsidR="007637A6" w:rsidRDefault="007637A6" w:rsidP="00321B5A">
      <w:pPr>
        <w:pStyle w:val="BodyText"/>
      </w:pPr>
    </w:p>
    <w:p w:rsidR="007637A6" w:rsidRDefault="007637A6" w:rsidP="00321B5A">
      <w:pPr>
        <w:pStyle w:val="BodyText"/>
      </w:pPr>
      <w:r>
        <w:t>These shortcuts are very common still in 2017.</w:t>
      </w:r>
      <w:r w:rsidR="00D02D66">
        <w:t xml:space="preserve"> </w:t>
      </w:r>
      <w:r w:rsidR="00633D27">
        <w:t>Non-conform mesh where however quite new at that time and under active development.</w:t>
      </w:r>
      <w:r w:rsidR="009B1F9B">
        <w:t xml:space="preserve"> Another interesting feature regards the </w:t>
      </w:r>
      <w:proofErr w:type="spellStart"/>
      <w:r w:rsidR="009B1F9B">
        <w:t>discretisation</w:t>
      </w:r>
      <w:proofErr w:type="spellEnd"/>
      <w:r w:rsidR="009B1F9B">
        <w:t xml:space="preserve"> of the pipes</w:t>
      </w:r>
      <w:r w:rsidR="00514282">
        <w:t xml:space="preserve">, </w:t>
      </w:r>
      <w:fldSimple w:instr=" REF _Ref477786955 \h  \* MERGEFORMAT ">
        <w:r w:rsidR="003B7F32">
          <w:t>Figure 5</w:t>
        </w:r>
      </w:fldSimple>
      <w:r w:rsidR="00514282">
        <w:t xml:space="preserve"> centre</w:t>
      </w:r>
      <w:r w:rsidR="009B1F9B">
        <w:t xml:space="preserve">. The leading idea is the following: when </w:t>
      </w:r>
      <w:proofErr w:type="spellStart"/>
      <w:r w:rsidR="009B1F9B">
        <w:t>discretisation</w:t>
      </w:r>
      <w:proofErr w:type="spellEnd"/>
      <w:r w:rsidR="009B1F9B">
        <w:t xml:space="preserve"> constraints are such that the </w:t>
      </w:r>
      <w:proofErr w:type="spellStart"/>
      <w:r w:rsidR="009B1F9B">
        <w:t>discretisation</w:t>
      </w:r>
      <w:proofErr w:type="spellEnd"/>
      <w:r w:rsidR="009B1F9B">
        <w:t xml:space="preserve"> will not respect the geometry by a large amount (typically a circle with very few cells), it can be preferable to </w:t>
      </w:r>
      <w:r w:rsidR="00514282">
        <w:t xml:space="preserve">slightly modify the geometry to make it easier to mesh. </w:t>
      </w:r>
      <w:r w:rsidR="00BB4303">
        <w:t>This allows</w:t>
      </w:r>
      <w:r w:rsidR="00514282">
        <w:t xml:space="preserve"> you to choose your prime geometrical characteristic to preserve. In this case, it was the internal cross section of the pipes, controlling the pipe exit flow speed at </w:t>
      </w:r>
      <w:r w:rsidR="001C0654">
        <w:t xml:space="preserve">a </w:t>
      </w:r>
      <w:r w:rsidR="00514282">
        <w:t>give</w:t>
      </w:r>
      <w:r w:rsidR="00874419">
        <w:t>n</w:t>
      </w:r>
      <w:r w:rsidR="00514282">
        <w:t xml:space="preserve"> mass flow rate.</w:t>
      </w:r>
    </w:p>
    <w:p w:rsidR="00632C8F" w:rsidRDefault="00632C8F" w:rsidP="00321B5A">
      <w:pPr>
        <w:pStyle w:val="BodyText"/>
      </w:pPr>
      <w:r>
        <w:t xml:space="preserve">The model has been run in steady-state, see </w:t>
      </w:r>
      <w:fldSimple w:instr=" REF _Ref477788568 \h  \* MERGEFORMAT ">
        <w:r w:rsidR="003B7F32">
          <w:t>Figure 6</w:t>
        </w:r>
      </w:fldSimple>
      <w:r w:rsidR="000A32EB">
        <w:t xml:space="preserve"> left</w:t>
      </w:r>
      <w:r>
        <w:t xml:space="preserve"> for the temperature field. </w:t>
      </w:r>
      <w:r w:rsidR="00BB4303">
        <w:t>The existence</w:t>
      </w:r>
      <w:r>
        <w:t xml:space="preserve"> of a </w:t>
      </w:r>
      <w:r w:rsidR="000A32EB">
        <w:t>plot</w:t>
      </w:r>
      <w:r>
        <w:t xml:space="preserve"> with </w:t>
      </w:r>
      <w:r w:rsidR="000A32EB">
        <w:t>the temperature field on a</w:t>
      </w:r>
      <w:r>
        <w:t xml:space="preserve"> section of the HX oil side</w:t>
      </w:r>
      <w:r w:rsidR="000A32EB">
        <w:t xml:space="preserve"> (</w:t>
      </w:r>
      <w:fldSimple w:instr=" REF _Ref477788568 \h  \* MERGEFORMAT ">
        <w:r w:rsidR="003B7F32">
          <w:t>Figure 6</w:t>
        </w:r>
      </w:fldSimple>
      <w:r w:rsidR="000A32EB">
        <w:t>, right)</w:t>
      </w:r>
      <w:r>
        <w:t xml:space="preserve"> indicates that the</w:t>
      </w:r>
      <w:r w:rsidR="000A32EB">
        <w:t xml:space="preserve"> </w:t>
      </w:r>
      <w:r w:rsidR="000A6BEB">
        <w:t>thermal coupling</w:t>
      </w:r>
      <w:r w:rsidR="000A32EB">
        <w:t xml:space="preserve"> used for the 2D target system could be extended to the 3D context.</w:t>
      </w:r>
    </w:p>
    <w:p w:rsidR="00633D27" w:rsidRDefault="00633D27" w:rsidP="00037A15">
      <w:pPr>
        <w:keepNext/>
        <w:jc w:val="center"/>
      </w:pPr>
      <w:r>
        <w:rPr>
          <w:noProof/>
          <w:lang w:eastAsia="en-GB"/>
        </w:rPr>
        <w:drawing>
          <wp:inline distT="0" distB="0" distL="0" distR="0">
            <wp:extent cx="2840747" cy="272415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fullVesselSketchXY.gif"/>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3892" cy="2727166"/>
                    </a:xfrm>
                    <a:prstGeom prst="rect">
                      <a:avLst/>
                    </a:prstGeom>
                  </pic:spPr>
                </pic:pic>
              </a:graphicData>
            </a:graphic>
          </wp:inline>
        </w:drawing>
      </w:r>
      <w:r>
        <w:rPr>
          <w:noProof/>
          <w:lang w:eastAsia="en-GB"/>
        </w:rPr>
        <w:drawing>
          <wp:inline distT="0" distB="0" distL="0" distR="0">
            <wp:extent cx="1786494" cy="2517738"/>
            <wp:effectExtent l="0" t="0" r="444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Vesseltubonequote2.gif"/>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89894" cy="2522530"/>
                    </a:xfrm>
                    <a:prstGeom prst="rect">
                      <a:avLst/>
                    </a:prstGeom>
                  </pic:spPr>
                </pic:pic>
              </a:graphicData>
            </a:graphic>
          </wp:inline>
        </w:drawing>
      </w:r>
    </w:p>
    <w:p w:rsidR="00633D27" w:rsidRDefault="00633D27" w:rsidP="00037A15">
      <w:pPr>
        <w:pStyle w:val="Caption"/>
        <w:jc w:val="center"/>
      </w:pPr>
      <w:bookmarkStart w:id="12" w:name="_Ref477786889"/>
      <w:r>
        <w:t xml:space="preserve">Figure </w:t>
      </w:r>
      <w:r w:rsidR="00066E55">
        <w:fldChar w:fldCharType="begin"/>
      </w:r>
      <w:r>
        <w:instrText xml:space="preserve"> SEQ Figure \* ARABIC </w:instrText>
      </w:r>
      <w:r w:rsidR="00066E55">
        <w:fldChar w:fldCharType="separate"/>
      </w:r>
      <w:r w:rsidR="003B7F32">
        <w:rPr>
          <w:noProof/>
        </w:rPr>
        <w:t>4</w:t>
      </w:r>
      <w:r w:rsidR="00066E55">
        <w:fldChar w:fldCharType="end"/>
      </w:r>
      <w:bookmarkEnd w:id="12"/>
      <w:r>
        <w:t xml:space="preserve">: Left, sketch of the EADF. </w:t>
      </w:r>
      <w:proofErr w:type="gramStart"/>
      <w:r>
        <w:t>Right, preliminary geometry of the computational domain.</w:t>
      </w:r>
      <w:proofErr w:type="gramEnd"/>
    </w:p>
    <w:p w:rsidR="00F80CC0" w:rsidRDefault="00633D27" w:rsidP="00037A15">
      <w:pPr>
        <w:keepNext/>
        <w:jc w:val="center"/>
      </w:pPr>
      <w:r>
        <w:rPr>
          <w:noProof/>
          <w:lang w:eastAsia="en-GB"/>
        </w:rPr>
        <w:lastRenderedPageBreak/>
        <w:drawing>
          <wp:inline distT="0" distB="0" distL="0" distR="0">
            <wp:extent cx="2011209" cy="2031594"/>
            <wp:effectExtent l="0" t="0" r="8255" b="698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meshTopView.gif"/>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23761"/>
                    <a:stretch/>
                  </pic:blipFill>
                  <pic:spPr bwMode="auto">
                    <a:xfrm>
                      <a:off x="0" y="0"/>
                      <a:ext cx="2017181" cy="20376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F80CC0">
        <w:rPr>
          <w:noProof/>
          <w:lang w:eastAsia="en-GB"/>
        </w:rPr>
        <w:drawing>
          <wp:inline distT="0" distB="0" distL="0" distR="0">
            <wp:extent cx="1766041" cy="2035562"/>
            <wp:effectExtent l="0" t="0" r="5715" b="317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pipeMesh.gif"/>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33186"/>
                    <a:stretch/>
                  </pic:blipFill>
                  <pic:spPr bwMode="auto">
                    <a:xfrm>
                      <a:off x="0" y="0"/>
                      <a:ext cx="1776612" cy="20477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F80CC0">
        <w:rPr>
          <w:noProof/>
          <w:lang w:eastAsia="en-GB"/>
        </w:rPr>
        <w:drawing>
          <wp:inline distT="0" distB="0" distL="0" distR="0">
            <wp:extent cx="1924050" cy="1943536"/>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meshBottom.gif"/>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23758"/>
                    <a:stretch/>
                  </pic:blipFill>
                  <pic:spPr bwMode="auto">
                    <a:xfrm>
                      <a:off x="0" y="0"/>
                      <a:ext cx="1930626" cy="19501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33D27" w:rsidRPr="00633D27" w:rsidRDefault="00F80CC0" w:rsidP="00037A15">
      <w:pPr>
        <w:pStyle w:val="Caption"/>
        <w:jc w:val="center"/>
      </w:pPr>
      <w:bookmarkStart w:id="13" w:name="_Ref477786955"/>
      <w:r>
        <w:t xml:space="preserve">Figure </w:t>
      </w:r>
      <w:r w:rsidR="00066E55">
        <w:fldChar w:fldCharType="begin"/>
      </w:r>
      <w:r>
        <w:instrText xml:space="preserve"> SEQ Figure \* ARABIC </w:instrText>
      </w:r>
      <w:r w:rsidR="00066E55">
        <w:fldChar w:fldCharType="separate"/>
      </w:r>
      <w:r w:rsidR="003B7F32">
        <w:rPr>
          <w:noProof/>
        </w:rPr>
        <w:t>5</w:t>
      </w:r>
      <w:r w:rsidR="00066E55">
        <w:fldChar w:fldCharType="end"/>
      </w:r>
      <w:bookmarkEnd w:id="13"/>
      <w:r>
        <w:t>: EADF computational grid. From left to right: horizontal layer, detail of a riser pipe and curved bottom.</w:t>
      </w:r>
    </w:p>
    <w:p w:rsidR="00064AA1" w:rsidRDefault="00064AA1" w:rsidP="00037A15">
      <w:pPr>
        <w:keepNext/>
        <w:jc w:val="center"/>
      </w:pPr>
      <w:r>
        <w:rPr>
          <w:noProof/>
          <w:lang w:eastAsia="en-GB"/>
        </w:rPr>
        <w:drawing>
          <wp:inline distT="0" distB="0" distL="0" distR="0">
            <wp:extent cx="2523109" cy="19431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visual1TempC6.gif"/>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31140" cy="1949285"/>
                    </a:xfrm>
                    <a:prstGeom prst="rect">
                      <a:avLst/>
                    </a:prstGeom>
                  </pic:spPr>
                </pic:pic>
              </a:graphicData>
            </a:graphic>
          </wp:inline>
        </w:drawing>
      </w:r>
      <w:r>
        <w:rPr>
          <w:noProof/>
          <w:lang w:eastAsia="en-GB"/>
        </w:rPr>
        <w:drawing>
          <wp:inline distT="0" distB="0" distL="0" distR="0">
            <wp:extent cx="2533650" cy="1951218"/>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_OilTemperatureTopHECase1.gif"/>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31530" cy="1949585"/>
                    </a:xfrm>
                    <a:prstGeom prst="rect">
                      <a:avLst/>
                    </a:prstGeom>
                  </pic:spPr>
                </pic:pic>
              </a:graphicData>
            </a:graphic>
          </wp:inline>
        </w:drawing>
      </w:r>
    </w:p>
    <w:p w:rsidR="00D02D66" w:rsidRDefault="00064AA1" w:rsidP="00037A15">
      <w:pPr>
        <w:pStyle w:val="Caption"/>
        <w:jc w:val="center"/>
      </w:pPr>
      <w:bookmarkStart w:id="14" w:name="_Ref477788568"/>
      <w:r>
        <w:t xml:space="preserve">Figure </w:t>
      </w:r>
      <w:r w:rsidR="00066E55">
        <w:fldChar w:fldCharType="begin"/>
      </w:r>
      <w:r>
        <w:instrText xml:space="preserve"> SEQ Figure \* ARABIC </w:instrText>
      </w:r>
      <w:r w:rsidR="00066E55">
        <w:fldChar w:fldCharType="separate"/>
      </w:r>
      <w:r w:rsidR="003B7F32">
        <w:rPr>
          <w:noProof/>
        </w:rPr>
        <w:t>6</w:t>
      </w:r>
      <w:r w:rsidR="00066E55">
        <w:fldChar w:fldCharType="end"/>
      </w:r>
      <w:bookmarkEnd w:id="14"/>
      <w:r>
        <w:t xml:space="preserve">: EADF model. </w:t>
      </w:r>
      <w:proofErr w:type="gramStart"/>
      <w:r>
        <w:t>steady-state</w:t>
      </w:r>
      <w:proofErr w:type="gramEnd"/>
      <w:r>
        <w:t xml:space="preserve"> thermal field: left, in LBE, right in HX oil side.</w:t>
      </w:r>
    </w:p>
    <w:p w:rsidR="004A6299" w:rsidRDefault="004A6299" w:rsidP="004A6299">
      <w:pPr>
        <w:pStyle w:val="Heading2"/>
      </w:pPr>
      <w:bookmarkStart w:id="15" w:name="_Toc478990073"/>
      <w:r w:rsidRPr="004A6299">
        <w:t>EFIT: “European Facility for Industrial Transmutation</w:t>
      </w:r>
      <w:r>
        <w:t>” (2005-2010)</w:t>
      </w:r>
      <w:r w:rsidRPr="004A6299">
        <w:t>;</w:t>
      </w:r>
      <w:bookmarkEnd w:id="15"/>
      <w:r w:rsidRPr="004A6299">
        <w:t xml:space="preserve"> </w:t>
      </w:r>
    </w:p>
    <w:p w:rsidR="000D6F68" w:rsidRDefault="00535AFA" w:rsidP="00BB4303">
      <w:pPr>
        <w:pStyle w:val="BodyText"/>
      </w:pPr>
      <w:r>
        <w:t xml:space="preserve">The former simulations where performed in a purely Italian context. Then the related activity at CRS4 nearly died and the EADF concept </w:t>
      </w:r>
      <w:r w:rsidR="00027AA4">
        <w:t xml:space="preserve">was </w:t>
      </w:r>
      <w:r>
        <w:t xml:space="preserve">relegated to history. </w:t>
      </w:r>
      <w:r w:rsidR="00027AA4">
        <w:t xml:space="preserve">Because the CFD simulation of pool loops respond to a necessity for the main HLM Gen IV reactors, CRS4 could restart its activity within the European framework, and more precisely thanks to </w:t>
      </w:r>
      <w:r w:rsidR="000D6F68">
        <w:t>the FP6 IP EUROTRANS</w:t>
      </w:r>
      <w:r w:rsidR="004A6299" w:rsidRPr="004A6299">
        <w:t xml:space="preserve"> (2005-2010)</w:t>
      </w:r>
      <w:r w:rsidR="000D6F68">
        <w:t>.</w:t>
      </w:r>
    </w:p>
    <w:p w:rsidR="004A6299" w:rsidRDefault="000D6F68" w:rsidP="00BB4303">
      <w:pPr>
        <w:pStyle w:val="BodyText"/>
      </w:pPr>
      <w:r>
        <w:t>Three relevant CFD models are shortly present</w:t>
      </w:r>
      <w:r w:rsidR="000A6BEB">
        <w:t>ed</w:t>
      </w:r>
      <w:r>
        <w:t xml:space="preserve"> here, and have been</w:t>
      </w:r>
      <w:r w:rsidR="004A6299" w:rsidRPr="004A6299">
        <w:t xml:space="preserve"> presented at ICONE-17 (2009).</w:t>
      </w:r>
      <w:r w:rsidR="00027AA4" w:rsidRPr="00027AA4">
        <w:t xml:space="preserve"> </w:t>
      </w:r>
      <w:r>
        <w:t>These are</w:t>
      </w:r>
      <w:r w:rsidR="00027AA4">
        <w:t xml:space="preserve"> </w:t>
      </w:r>
      <w:r>
        <w:t xml:space="preserve">the EFIT </w:t>
      </w:r>
      <w:r w:rsidR="00027AA4" w:rsidRPr="004A6299">
        <w:t>(</w:t>
      </w:r>
      <w:proofErr w:type="spellStart"/>
      <w:r w:rsidR="00027AA4" w:rsidRPr="004A6299">
        <w:t>i</w:t>
      </w:r>
      <w:proofErr w:type="spellEnd"/>
      <w:r w:rsidR="00027AA4" w:rsidRPr="004A6299">
        <w:t>) hot plenum (1/4), (ii) bottom plenum (1/12) and (iii) outer plenum (1</w:t>
      </w:r>
      <w:r>
        <w:t xml:space="preserve">/8) with ½ </w:t>
      </w:r>
      <w:proofErr w:type="gramStart"/>
      <w:r>
        <w:t>pump</w:t>
      </w:r>
      <w:proofErr w:type="gramEnd"/>
      <w:r>
        <w:t>, 1 HX and ½ DHR.</w:t>
      </w:r>
    </w:p>
    <w:p w:rsidR="000D6F68" w:rsidRDefault="000D6F68" w:rsidP="000D6F68">
      <w:pPr>
        <w:pStyle w:val="Heading3"/>
      </w:pPr>
      <w:bookmarkStart w:id="16" w:name="_Toc478990074"/>
      <w:r>
        <w:t>EFIT hot plenum</w:t>
      </w:r>
      <w:bookmarkEnd w:id="16"/>
    </w:p>
    <w:p w:rsidR="000D6F68" w:rsidRDefault="000D6F68" w:rsidP="00BA4EEE">
      <w:pPr>
        <w:pStyle w:val="BodyText"/>
      </w:pPr>
      <w:r>
        <w:t>The EFIT hot plenum CFD simulation addresses the Above Core Structure (ACS) and the flow redirection to</w:t>
      </w:r>
      <w:r w:rsidR="00D30898">
        <w:t xml:space="preserve"> large lateral bended pipes where the pumps are located. In the ACS, an intermediary grid is simulated as a resistive porous</w:t>
      </w:r>
      <w:r w:rsidR="00AB1AA7">
        <w:t xml:space="preserve"> media</w:t>
      </w:r>
      <w:r w:rsidR="00D30898">
        <w:t xml:space="preserve">. An attempt of flow optimization has been performed </w:t>
      </w:r>
      <w:r w:rsidR="00AB1AA7">
        <w:t xml:space="preserve">on a simplified geometry </w:t>
      </w:r>
      <w:r w:rsidR="00D30898">
        <w:t>aiming at making the flow at the pump inlet the more uniform possible</w:t>
      </w:r>
      <w:r w:rsidR="00AB1AA7">
        <w:t xml:space="preserve">, see </w:t>
      </w:r>
      <w:fldSimple w:instr=" REF _Ref477794135 \h  \* MERGEFORMAT ">
        <w:r w:rsidR="003B7F32">
          <w:t>Figure 8</w:t>
        </w:r>
      </w:fldSimple>
      <w:r w:rsidR="00D30898">
        <w:t>.</w:t>
      </w:r>
    </w:p>
    <w:p w:rsidR="00AB1AA7" w:rsidRDefault="00AB1AA7" w:rsidP="00037A15">
      <w:pPr>
        <w:keepNext/>
        <w:jc w:val="center"/>
      </w:pPr>
      <w:r>
        <w:rPr>
          <w:noProof/>
          <w:lang w:eastAsia="en-GB"/>
        </w:rPr>
        <w:lastRenderedPageBreak/>
        <w:drawing>
          <wp:inline distT="0" distB="0" distL="0" distR="0">
            <wp:extent cx="1377810" cy="208597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itDesignGeomCoreTop2.gif"/>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6339" cy="2083748"/>
                    </a:xfrm>
                    <a:prstGeom prst="rect">
                      <a:avLst/>
                    </a:prstGeom>
                  </pic:spPr>
                </pic:pic>
              </a:graphicData>
            </a:graphic>
          </wp:inline>
        </w:drawing>
      </w:r>
      <w:r>
        <w:rPr>
          <w:noProof/>
          <w:lang w:eastAsia="en-GB"/>
        </w:rPr>
        <w:drawing>
          <wp:inline distT="0" distB="0" distL="0" distR="0">
            <wp:extent cx="2112868" cy="2133600"/>
            <wp:effectExtent l="0" t="0" r="190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itTopK2T50deg.gif"/>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9634" cy="2140432"/>
                    </a:xfrm>
                    <a:prstGeom prst="rect">
                      <a:avLst/>
                    </a:prstGeom>
                  </pic:spPr>
                </pic:pic>
              </a:graphicData>
            </a:graphic>
          </wp:inline>
        </w:drawing>
      </w:r>
    </w:p>
    <w:p w:rsidR="00D30898" w:rsidRDefault="00AB1AA7" w:rsidP="00037A15">
      <w:pPr>
        <w:pStyle w:val="Caption"/>
        <w:jc w:val="center"/>
      </w:pPr>
      <w:r>
        <w:t xml:space="preserve">Figure </w:t>
      </w:r>
      <w:r w:rsidR="00066E55">
        <w:fldChar w:fldCharType="begin"/>
      </w:r>
      <w:r>
        <w:instrText xml:space="preserve"> SEQ Figure \* ARABIC </w:instrText>
      </w:r>
      <w:r w:rsidR="00066E55">
        <w:fldChar w:fldCharType="separate"/>
      </w:r>
      <w:r w:rsidR="003B7F32">
        <w:rPr>
          <w:noProof/>
        </w:rPr>
        <w:t>7</w:t>
      </w:r>
      <w:r w:rsidR="00066E55">
        <w:fldChar w:fldCharType="end"/>
      </w:r>
      <w:r>
        <w:t>: EFIT hot plenum. Left: structures. Right: thermal field.</w:t>
      </w:r>
    </w:p>
    <w:p w:rsidR="00AB1AA7" w:rsidRPr="00AB1AA7" w:rsidRDefault="00AB1AA7" w:rsidP="00037A15">
      <w:pPr>
        <w:pStyle w:val="BodyText"/>
        <w:jc w:val="center"/>
      </w:pPr>
    </w:p>
    <w:p w:rsidR="00AB1AA7" w:rsidRDefault="00AB1AA7" w:rsidP="00037A15">
      <w:pPr>
        <w:keepNext/>
        <w:jc w:val="center"/>
      </w:pPr>
      <w:r>
        <w:rPr>
          <w:noProof/>
          <w:lang w:eastAsia="en-GB"/>
        </w:rPr>
        <w:drawing>
          <wp:inline distT="0" distB="0" distL="0" distR="0">
            <wp:extent cx="1977144" cy="2055837"/>
            <wp:effectExtent l="0" t="0" r="4445" b="190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itSimpleTop7CAD.gif"/>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81295" cy="2060154"/>
                    </a:xfrm>
                    <a:prstGeom prst="rect">
                      <a:avLst/>
                    </a:prstGeom>
                  </pic:spPr>
                </pic:pic>
              </a:graphicData>
            </a:graphic>
          </wp:inline>
        </w:drawing>
      </w:r>
      <w:r>
        <w:rPr>
          <w:noProof/>
          <w:lang w:eastAsia="en-GB"/>
        </w:rPr>
        <w:drawing>
          <wp:inline distT="0" distB="0" distL="0" distR="0">
            <wp:extent cx="2044999" cy="20574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itSimpleTop7Vel50deg.g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51314" cy="2063753"/>
                    </a:xfrm>
                    <a:prstGeom prst="rect">
                      <a:avLst/>
                    </a:prstGeom>
                  </pic:spPr>
                </pic:pic>
              </a:graphicData>
            </a:graphic>
          </wp:inline>
        </w:drawing>
      </w:r>
    </w:p>
    <w:p w:rsidR="00D30898" w:rsidRDefault="00AB1AA7" w:rsidP="00037A15">
      <w:pPr>
        <w:pStyle w:val="Caption"/>
        <w:jc w:val="center"/>
      </w:pPr>
      <w:bookmarkStart w:id="17" w:name="_Ref477794135"/>
      <w:r>
        <w:t xml:space="preserve">Figure </w:t>
      </w:r>
      <w:r w:rsidR="00066E55">
        <w:fldChar w:fldCharType="begin"/>
      </w:r>
      <w:r>
        <w:instrText xml:space="preserve"> SEQ Figure \* ARABIC </w:instrText>
      </w:r>
      <w:r w:rsidR="00066E55">
        <w:fldChar w:fldCharType="separate"/>
      </w:r>
      <w:r w:rsidR="003B7F32">
        <w:rPr>
          <w:noProof/>
        </w:rPr>
        <w:t>8</w:t>
      </w:r>
      <w:r w:rsidR="00066E55">
        <w:fldChar w:fldCharType="end"/>
      </w:r>
      <w:bookmarkEnd w:id="17"/>
      <w:r>
        <w:t>: EFIT optimisation study. Left: geometrical variant. Right</w:t>
      </w:r>
      <w:r w:rsidR="00E90E8D">
        <w:t>: flow field.</w:t>
      </w:r>
    </w:p>
    <w:p w:rsidR="00D30898" w:rsidRDefault="00E90E8D" w:rsidP="00E90E8D">
      <w:pPr>
        <w:pStyle w:val="Heading3"/>
      </w:pPr>
      <w:bookmarkStart w:id="18" w:name="_Toc478990075"/>
      <w:r>
        <w:t>EFIT core bottom</w:t>
      </w:r>
      <w:bookmarkEnd w:id="18"/>
    </w:p>
    <w:p w:rsidR="00E90E8D" w:rsidRDefault="00E90E8D" w:rsidP="00BA4EEE">
      <w:pPr>
        <w:pStyle w:val="BodyText"/>
      </w:pPr>
      <w:r>
        <w:t>This simulation was performed to understand</w:t>
      </w:r>
      <w:r w:rsidR="00375336">
        <w:t xml:space="preserve"> whether the flow entering the bottom plenum would nicely be conveyed towards the core bottom and split as expected between the fuel assemblies (FA).</w:t>
      </w:r>
      <w:r w:rsidR="00A51EC5">
        <w:t xml:space="preserve"> In the simulation presented in </w:t>
      </w:r>
      <w:fldSimple w:instr=" REF _Ref477857026 \h  \* MERGEFORMAT ">
        <w:r w:rsidR="003B7F32">
          <w:t>Figure 9</w:t>
        </w:r>
      </w:fldSimple>
      <w:r w:rsidR="00A51EC5">
        <w:t xml:space="preserve">, we check that a variation of the design with the bottom </w:t>
      </w:r>
      <w:r w:rsidR="000A6BEB">
        <w:t xml:space="preserve">support </w:t>
      </w:r>
      <w:r w:rsidR="00A51EC5">
        <w:t xml:space="preserve">grid made orthogonal to the vessel effectively eliminates a large recirculation zone that was formerly </w:t>
      </w:r>
      <w:r w:rsidR="00655E01">
        <w:t>present at the bottom around the centre axis.</w:t>
      </w:r>
      <w:r w:rsidR="00A51EC5">
        <w:t xml:space="preserve"> </w:t>
      </w:r>
    </w:p>
    <w:p w:rsidR="00655E01" w:rsidRDefault="00655E01" w:rsidP="00E90E8D"/>
    <w:p w:rsidR="00144073" w:rsidRDefault="00375336" w:rsidP="00037A15">
      <w:pPr>
        <w:jc w:val="center"/>
      </w:pPr>
      <w:r>
        <w:rPr>
          <w:noProof/>
          <w:lang w:eastAsia="en-GB"/>
        </w:rPr>
        <w:drawing>
          <wp:inline distT="0" distB="0" distL="0" distR="0">
            <wp:extent cx="2057400" cy="1512088"/>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itCoreBottomDesignGeomCore2.gif"/>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6049" cy="1518445"/>
                    </a:xfrm>
                    <a:prstGeom prst="rect">
                      <a:avLst/>
                    </a:prstGeom>
                  </pic:spPr>
                </pic:pic>
              </a:graphicData>
            </a:graphic>
          </wp:inline>
        </w:drawing>
      </w:r>
      <w:r w:rsidR="00144073">
        <w:rPr>
          <w:noProof/>
          <w:lang w:eastAsia="en-GB"/>
        </w:rPr>
        <w:drawing>
          <wp:inline distT="0" distB="0" distL="0" distR="0">
            <wp:extent cx="1857375" cy="1532137"/>
            <wp:effectExtent l="0" t="0" r="0" b="0"/>
            <wp:docPr id="257032" name="Picture 8" descr="Mesh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32" name="Picture 8" descr="MeshZoom"/>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3468" cy="1545412"/>
                    </a:xfrm>
                    <a:prstGeom prst="rect">
                      <a:avLst/>
                    </a:prstGeom>
                    <a:noFill/>
                    <a:ln>
                      <a:noFill/>
                    </a:ln>
                    <a:effectLst/>
                    <a:extLst/>
                  </pic:spPr>
                </pic:pic>
              </a:graphicData>
            </a:graphic>
          </wp:inline>
        </w:drawing>
      </w:r>
    </w:p>
    <w:p w:rsidR="00144073" w:rsidRDefault="00144073" w:rsidP="00037A15">
      <w:pPr>
        <w:keepNext/>
        <w:jc w:val="center"/>
      </w:pPr>
      <w:r>
        <w:rPr>
          <w:noProof/>
          <w:lang w:eastAsia="en-GB"/>
        </w:rPr>
        <w:lastRenderedPageBreak/>
        <w:drawing>
          <wp:inline distT="0" distB="0" distL="0" distR="0">
            <wp:extent cx="3914775" cy="1764453"/>
            <wp:effectExtent l="0" t="0" r="0" b="762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itCoreBottom1Sec1VVmag.gif"/>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0570" cy="1771572"/>
                    </a:xfrm>
                    <a:prstGeom prst="rect">
                      <a:avLst/>
                    </a:prstGeom>
                  </pic:spPr>
                </pic:pic>
              </a:graphicData>
            </a:graphic>
          </wp:inline>
        </w:drawing>
      </w:r>
    </w:p>
    <w:p w:rsidR="00375336" w:rsidRDefault="00144073" w:rsidP="00037A15">
      <w:pPr>
        <w:pStyle w:val="Caption"/>
        <w:jc w:val="center"/>
      </w:pPr>
      <w:bookmarkStart w:id="19" w:name="_Ref477857026"/>
      <w:r>
        <w:t xml:space="preserve">Figure </w:t>
      </w:r>
      <w:r w:rsidR="00066E55">
        <w:fldChar w:fldCharType="begin"/>
      </w:r>
      <w:r>
        <w:instrText xml:space="preserve"> SEQ Figure \* ARABIC </w:instrText>
      </w:r>
      <w:r w:rsidR="00066E55">
        <w:fldChar w:fldCharType="separate"/>
      </w:r>
      <w:r w:rsidR="003B7F32">
        <w:rPr>
          <w:noProof/>
        </w:rPr>
        <w:t>9</w:t>
      </w:r>
      <w:r w:rsidR="00066E55">
        <w:fldChar w:fldCharType="end"/>
      </w:r>
      <w:bookmarkEnd w:id="19"/>
      <w:r>
        <w:t>: EFIT core bottom. Top left: computational geometry. Top right: mesh detail. Bottom: flow field.</w:t>
      </w:r>
    </w:p>
    <w:p w:rsidR="00375336" w:rsidRDefault="00655E01" w:rsidP="00655E01">
      <w:pPr>
        <w:pStyle w:val="Heading3"/>
      </w:pPr>
      <w:bookmarkStart w:id="20" w:name="_Toc478990076"/>
      <w:r>
        <w:t>EFIT Outer plenum</w:t>
      </w:r>
      <w:bookmarkEnd w:id="20"/>
    </w:p>
    <w:p w:rsidR="00DC181C" w:rsidRDefault="00655E01" w:rsidP="00BA4EEE">
      <w:pPr>
        <w:pStyle w:val="BodyText"/>
      </w:pPr>
      <w:r>
        <w:t>The domain of the simulation sta</w:t>
      </w:r>
      <w:r w:rsidR="000A6BEB">
        <w:t>r</w:t>
      </w:r>
      <w:r>
        <w:t xml:space="preserve">ts from the pump outlet, with </w:t>
      </w:r>
      <w:r w:rsidR="000A6BEB">
        <w:t xml:space="preserve">the </w:t>
      </w:r>
      <w:r>
        <w:t>flow reversing in the HX. The outlet of the HX is connected to the outer plenum, and the outer plenum</w:t>
      </w:r>
      <w:r w:rsidR="00DC181C">
        <w:t xml:space="preserve"> has a bottom outlet towards the core bottom. A DHR is also immersed in the outer plenum which automatically enters in function when the coolant </w:t>
      </w:r>
      <w:proofErr w:type="gramStart"/>
      <w:r w:rsidR="00DC181C">
        <w:t xml:space="preserve">rise above a given temperature, typically </w:t>
      </w:r>
      <w:r w:rsidR="000A6BEB">
        <w:t xml:space="preserve">arising </w:t>
      </w:r>
      <w:r w:rsidR="00DC181C">
        <w:t>in case of HX failure</w:t>
      </w:r>
      <w:r w:rsidR="00A840BD">
        <w:t>, see</w:t>
      </w:r>
      <w:proofErr w:type="gramEnd"/>
      <w:r w:rsidR="00A840BD">
        <w:t xml:space="preserve"> </w:t>
      </w:r>
      <w:fldSimple w:instr=" REF _Ref477859397 \h  \* MERGEFORMAT ">
        <w:r w:rsidR="003B7F32">
          <w:t>Figure 10</w:t>
        </w:r>
      </w:fldSimple>
      <w:r w:rsidR="00DC181C">
        <w:t>.</w:t>
      </w:r>
      <w:r w:rsidR="00A840BD">
        <w:t xml:space="preserve"> The simulation aim was to control the correct behaviour of the DHX. It turns out that the DHX is much more efficient with a slightly longer downward shroud, as seen in </w:t>
      </w:r>
      <w:fldSimple w:instr=" REF _Ref477859348 \h  \* MERGEFORMAT ">
        <w:r w:rsidR="003B7F32">
          <w:t>Figure 11</w:t>
        </w:r>
      </w:fldSimple>
      <w:r w:rsidR="00A840BD">
        <w:t>.</w:t>
      </w:r>
    </w:p>
    <w:p w:rsidR="00A05369" w:rsidRDefault="00A05369" w:rsidP="00655E01"/>
    <w:p w:rsidR="00A05369" w:rsidRDefault="00DC181C" w:rsidP="00037A15">
      <w:pPr>
        <w:keepNext/>
        <w:jc w:val="center"/>
      </w:pPr>
      <w:r>
        <w:rPr>
          <w:noProof/>
          <w:lang w:eastAsia="en-GB"/>
        </w:rPr>
        <w:drawing>
          <wp:inline distT="0" distB="0" distL="0" distR="0">
            <wp:extent cx="2239330" cy="2305050"/>
            <wp:effectExtent l="0" t="0" r="8890" b="0"/>
            <wp:docPr id="301062" name="Picture 6" descr="AcadGeomCoreX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62" name="Picture 6" descr="AcadGeomCoreXZ"/>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1697" cy="2307487"/>
                    </a:xfrm>
                    <a:prstGeom prst="rect">
                      <a:avLst/>
                    </a:prstGeom>
                    <a:noFill/>
                    <a:ln>
                      <a:noFill/>
                    </a:ln>
                    <a:effectLst/>
                    <a:extLst/>
                  </pic:spPr>
                </pic:pic>
              </a:graphicData>
            </a:graphic>
          </wp:inline>
        </w:drawing>
      </w:r>
      <w:r w:rsidR="00A05369">
        <w:rPr>
          <w:noProof/>
          <w:lang w:eastAsia="en-GB"/>
        </w:rPr>
        <w:drawing>
          <wp:inline distT="0" distB="0" distL="0" distR="0">
            <wp:extent cx="1904020" cy="2300829"/>
            <wp:effectExtent l="0" t="0" r="1270" b="4445"/>
            <wp:docPr id="242699" name="Picture 11" descr="SGU_DHR2_rot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99" name="Picture 11" descr="SGU_DHR2_rotated"/>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7361" cy="2304866"/>
                    </a:xfrm>
                    <a:prstGeom prst="rect">
                      <a:avLst/>
                    </a:prstGeom>
                    <a:noFill/>
                    <a:ln>
                      <a:noFill/>
                    </a:ln>
                    <a:effectLst/>
                    <a:extLst/>
                  </pic:spPr>
                </pic:pic>
              </a:graphicData>
            </a:graphic>
          </wp:inline>
        </w:drawing>
      </w:r>
      <w:r w:rsidR="00A05369">
        <w:rPr>
          <w:noProof/>
          <w:lang w:eastAsia="en-GB"/>
        </w:rPr>
        <w:drawing>
          <wp:inline distT="0" distB="0" distL="0" distR="0">
            <wp:extent cx="1240322" cy="2381250"/>
            <wp:effectExtent l="0" t="0" r="0" b="0"/>
            <wp:docPr id="297995" name="Picture 11" descr="DowncomerDesig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95" name="Picture 11" descr="DowncomerDesign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67" r="10268" b="1337"/>
                    <a:stretch>
                      <a:fillRect/>
                    </a:stretch>
                  </pic:blipFill>
                  <pic:spPr bwMode="auto">
                    <a:xfrm>
                      <a:off x="0" y="0"/>
                      <a:ext cx="1243714" cy="2387763"/>
                    </a:xfrm>
                    <a:prstGeom prst="rect">
                      <a:avLst/>
                    </a:prstGeom>
                    <a:noFill/>
                    <a:ln>
                      <a:noFill/>
                    </a:ln>
                    <a:effectLst/>
                    <a:extLst/>
                  </pic:spPr>
                </pic:pic>
              </a:graphicData>
            </a:graphic>
          </wp:inline>
        </w:drawing>
      </w:r>
    </w:p>
    <w:p w:rsidR="00655E01" w:rsidRDefault="00A05369" w:rsidP="00037A15">
      <w:pPr>
        <w:pStyle w:val="Caption"/>
        <w:jc w:val="center"/>
      </w:pPr>
      <w:bookmarkStart w:id="21" w:name="_Ref477859397"/>
      <w:r>
        <w:t xml:space="preserve">Figure </w:t>
      </w:r>
      <w:r w:rsidR="00066E55">
        <w:fldChar w:fldCharType="begin"/>
      </w:r>
      <w:r>
        <w:instrText xml:space="preserve"> SEQ Figure \* ARABIC </w:instrText>
      </w:r>
      <w:r w:rsidR="00066E55">
        <w:fldChar w:fldCharType="separate"/>
      </w:r>
      <w:r w:rsidR="003B7F32">
        <w:rPr>
          <w:noProof/>
        </w:rPr>
        <w:t>10</w:t>
      </w:r>
      <w:r w:rsidR="00066E55">
        <w:fldChar w:fldCharType="end"/>
      </w:r>
      <w:bookmarkEnd w:id="21"/>
      <w:r>
        <w:t>: EFIT Outer Plenum. Left and centre: design sketch. Right: computational domain.</w:t>
      </w:r>
    </w:p>
    <w:p w:rsidR="00A05369" w:rsidRDefault="00A05369" w:rsidP="00037A15">
      <w:pPr>
        <w:keepNext/>
        <w:jc w:val="center"/>
      </w:pPr>
      <w:r>
        <w:rPr>
          <w:noProof/>
          <w:lang w:eastAsia="en-GB"/>
        </w:rPr>
        <w:lastRenderedPageBreak/>
        <w:drawing>
          <wp:inline distT="0" distB="0" distL="0" distR="0">
            <wp:extent cx="1523870" cy="2841839"/>
            <wp:effectExtent l="0" t="0" r="635" b="0"/>
            <wp:docPr id="293900" name="Picture 12" descr="DowncomerDHRTan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00" name="Picture 12" descr="DowncomerDHRTan2T"/>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164" r="7164"/>
                    <a:stretch>
                      <a:fillRect/>
                    </a:stretch>
                  </pic:blipFill>
                  <pic:spPr bwMode="auto">
                    <a:xfrm>
                      <a:off x="0" y="0"/>
                      <a:ext cx="1524890" cy="2843742"/>
                    </a:xfrm>
                    <a:prstGeom prst="rect">
                      <a:avLst/>
                    </a:prstGeom>
                    <a:noFill/>
                    <a:ln>
                      <a:noFill/>
                    </a:ln>
                    <a:effectLst/>
                    <a:extLst/>
                  </pic:spPr>
                </pic:pic>
              </a:graphicData>
            </a:graphic>
          </wp:inline>
        </w:drawing>
      </w:r>
      <w:r>
        <w:rPr>
          <w:noProof/>
          <w:lang w:eastAsia="en-GB"/>
        </w:rPr>
        <w:drawing>
          <wp:inline distT="0" distB="0" distL="0" distR="0">
            <wp:extent cx="1207761" cy="2724150"/>
            <wp:effectExtent l="0" t="0" r="0" b="0"/>
            <wp:docPr id="295942" name="Picture 6" descr="DowncomerDesi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42" name="Picture 6" descr="DowncomerDesignA"/>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8185" cy="2725106"/>
                    </a:xfrm>
                    <a:prstGeom prst="rect">
                      <a:avLst/>
                    </a:prstGeom>
                    <a:noFill/>
                    <a:ln>
                      <a:noFill/>
                    </a:ln>
                    <a:effectLst/>
                    <a:extLst/>
                  </pic:spPr>
                </pic:pic>
              </a:graphicData>
            </a:graphic>
          </wp:inline>
        </w:drawing>
      </w:r>
      <w:r>
        <w:rPr>
          <w:noProof/>
          <w:lang w:eastAsia="en-GB"/>
        </w:rPr>
        <w:drawing>
          <wp:inline distT="0" distB="0" distL="0" distR="0">
            <wp:extent cx="1279825" cy="2712849"/>
            <wp:effectExtent l="0" t="0" r="0" b="0"/>
            <wp:docPr id="295944" name="Picture 8" descr="DowncomerDesig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44" name="Picture 8" descr="DowncomerDesignB"/>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0777" cy="2714867"/>
                    </a:xfrm>
                    <a:prstGeom prst="rect">
                      <a:avLst/>
                    </a:prstGeom>
                    <a:noFill/>
                    <a:ln>
                      <a:noFill/>
                    </a:ln>
                    <a:effectLst/>
                    <a:extLst/>
                  </pic:spPr>
                </pic:pic>
              </a:graphicData>
            </a:graphic>
          </wp:inline>
        </w:drawing>
      </w:r>
      <w:r>
        <w:rPr>
          <w:noProof/>
          <w:lang w:eastAsia="en-GB"/>
        </w:rPr>
        <w:drawing>
          <wp:inline distT="0" distB="0" distL="0" distR="0">
            <wp:extent cx="1428750" cy="2714625"/>
            <wp:effectExtent l="0" t="0" r="0" b="0"/>
            <wp:docPr id="293896" name="Picture 8" descr="downcomerB180sTr2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96" name="Picture 8" descr="downcomerB180sTr2de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7735" cy="2712696"/>
                    </a:xfrm>
                    <a:prstGeom prst="rect">
                      <a:avLst/>
                    </a:prstGeom>
                    <a:noFill/>
                    <a:ln>
                      <a:noFill/>
                    </a:ln>
                    <a:effectLst/>
                    <a:extLst/>
                  </pic:spPr>
                </pic:pic>
              </a:graphicData>
            </a:graphic>
          </wp:inline>
        </w:drawing>
      </w:r>
    </w:p>
    <w:p w:rsidR="00A05369" w:rsidRDefault="00A05369" w:rsidP="00037A15">
      <w:pPr>
        <w:pStyle w:val="Caption"/>
        <w:jc w:val="center"/>
      </w:pPr>
      <w:bookmarkStart w:id="22" w:name="_Ref477859348"/>
      <w:r>
        <w:t xml:space="preserve">Figure </w:t>
      </w:r>
      <w:r w:rsidR="00066E55">
        <w:fldChar w:fldCharType="begin"/>
      </w:r>
      <w:r>
        <w:instrText xml:space="preserve"> SEQ Figure \* ARABIC </w:instrText>
      </w:r>
      <w:r w:rsidR="00066E55">
        <w:fldChar w:fldCharType="separate"/>
      </w:r>
      <w:r w:rsidR="003B7F32">
        <w:rPr>
          <w:noProof/>
        </w:rPr>
        <w:t>11</w:t>
      </w:r>
      <w:r w:rsidR="00066E55">
        <w:fldChar w:fldCharType="end"/>
      </w:r>
      <w:bookmarkEnd w:id="22"/>
      <w:r>
        <w:t>: EFIT Outer Plenum.</w:t>
      </w:r>
      <w:r w:rsidR="00A840BD">
        <w:t xml:space="preserve"> Left: original temperature field and DHR shroud length. Right: Increased DHR shroud length a</w:t>
      </w:r>
      <w:r w:rsidR="00037A15">
        <w:t>nd corresponding temperature fi</w:t>
      </w:r>
      <w:r w:rsidR="00A840BD">
        <w:t>eld.</w:t>
      </w:r>
    </w:p>
    <w:p w:rsidR="00A840BD" w:rsidRDefault="00A840BD" w:rsidP="00A840BD">
      <w:pPr>
        <w:pStyle w:val="Heading3"/>
      </w:pPr>
      <w:bookmarkStart w:id="23" w:name="_Toc478990077"/>
      <w:r>
        <w:t>EFIT outcome</w:t>
      </w:r>
      <w:bookmarkEnd w:id="23"/>
    </w:p>
    <w:p w:rsidR="00A840BD" w:rsidRDefault="00A840BD" w:rsidP="00BA4EEE">
      <w:pPr>
        <w:pStyle w:val="BodyText"/>
      </w:pPr>
      <w:r>
        <w:t xml:space="preserve">The simulations </w:t>
      </w:r>
      <w:r w:rsidR="00BA4EEE">
        <w:t>of parts of EFIT have been done</w:t>
      </w:r>
      <w:r>
        <w:t xml:space="preserve"> under the supervision and in close </w:t>
      </w:r>
      <w:r w:rsidR="00E23F8C">
        <w:t xml:space="preserve">collaboration with </w:t>
      </w:r>
      <w:proofErr w:type="spellStart"/>
      <w:r w:rsidR="00E23F8C">
        <w:t>Ansaldo</w:t>
      </w:r>
      <w:proofErr w:type="spellEnd"/>
      <w:r w:rsidR="00E23F8C">
        <w:t xml:space="preserve"> </w:t>
      </w:r>
      <w:proofErr w:type="spellStart"/>
      <w:r w:rsidR="00E23F8C">
        <w:t>Nucleare</w:t>
      </w:r>
      <w:proofErr w:type="spellEnd"/>
      <w:r w:rsidR="00E23F8C">
        <w:t xml:space="preserve">. The really interesting thing is that the CFD simulations have produced small but relevant changes </w:t>
      </w:r>
      <w:r w:rsidR="00BA4EEE">
        <w:t>of the design: (</w:t>
      </w:r>
      <w:proofErr w:type="spellStart"/>
      <w:r w:rsidR="00BA4EEE">
        <w:t>i</w:t>
      </w:r>
      <w:proofErr w:type="spellEnd"/>
      <w:r w:rsidR="00BA4EEE">
        <w:t>) shape of the</w:t>
      </w:r>
      <w:r w:rsidR="00E23F8C">
        <w:t xml:space="preserve"> pump pipe inlet, (ii) shape of the bottom grid and (iii) length of the ADS shroud.</w:t>
      </w:r>
    </w:p>
    <w:p w:rsidR="004A6299" w:rsidRDefault="00A840BD" w:rsidP="004A6299">
      <w:pPr>
        <w:pStyle w:val="Heading2"/>
      </w:pPr>
      <w:bookmarkStart w:id="24" w:name="_Toc478990078"/>
      <w:r>
        <w:t>XT-ADS: “</w:t>
      </w:r>
      <w:proofErr w:type="spellStart"/>
      <w:r>
        <w:t>eXperimeTal</w:t>
      </w:r>
      <w:proofErr w:type="spellEnd"/>
      <w:r>
        <w:t xml:space="preserve"> ADS”</w:t>
      </w:r>
      <w:bookmarkEnd w:id="24"/>
    </w:p>
    <w:p w:rsidR="000D7E35" w:rsidRDefault="00D14188" w:rsidP="003C5002">
      <w:pPr>
        <w:pStyle w:val="BodyText"/>
      </w:pPr>
      <w:r>
        <w:t xml:space="preserve">The XT-ADS numerical model marks a change of paradigm in the CRS4 CFD simulations. First, we swept  from </w:t>
      </w:r>
      <w:r w:rsidR="003D4C4E">
        <w:t xml:space="preserve">STAR </w:t>
      </w:r>
      <w:r>
        <w:t xml:space="preserve">CD, a classical CFD mesh based CFD software </w:t>
      </w:r>
      <w:r w:rsidR="00632EE3">
        <w:t xml:space="preserve">used until this moment </w:t>
      </w:r>
      <w:r>
        <w:t xml:space="preserve">to </w:t>
      </w:r>
      <w:r w:rsidR="003D4C4E">
        <w:t xml:space="preserve">the </w:t>
      </w:r>
      <w:r w:rsidR="003D4C4E" w:rsidRPr="003D4C4E">
        <w:t>STAR CCM+® software</w:t>
      </w:r>
      <w:r w:rsidR="00632EE3">
        <w:t>,</w:t>
      </w:r>
      <w:r>
        <w:t xml:space="preserve"> an object-oriented CFD software</w:t>
      </w:r>
      <w:r w:rsidR="001E1E03">
        <w:t>, rewritten from scratch taken into account 20 years improvement of computer science</w:t>
      </w:r>
      <w:r>
        <w:t>. In the meantime, we changed from slightly parallel runs, limited to 4 CPUs</w:t>
      </w:r>
      <w:r w:rsidR="001E1E03">
        <w:t xml:space="preserve"> on a single PC, to definitively heavier parallel simulations, here on 20 CPUs of a PC cluster.</w:t>
      </w:r>
      <w:r>
        <w:t xml:space="preserve"> </w:t>
      </w:r>
    </w:p>
    <w:p w:rsidR="001E1E03" w:rsidRDefault="001E1E03" w:rsidP="003C5002">
      <w:pPr>
        <w:pStyle w:val="BodyText"/>
      </w:pPr>
      <w:r>
        <w:t xml:space="preserve">The simulation </w:t>
      </w:r>
      <w:r w:rsidR="008B426F">
        <w:t>of</w:t>
      </w:r>
      <w:r>
        <w:t xml:space="preserve"> the XT-ADS</w:t>
      </w:r>
      <w:r w:rsidR="008B426F">
        <w:t xml:space="preserve"> </w:t>
      </w:r>
      <w:r>
        <w:t>had the goal to understand whether the RVACS</w:t>
      </w:r>
      <w:r w:rsidR="008B426F">
        <w:t xml:space="preserve"> </w:t>
      </w:r>
      <w:r>
        <w:t>is able to maintain the vessel temperature</w:t>
      </w:r>
      <w:r w:rsidR="008B426F">
        <w:t xml:space="preserve"> </w:t>
      </w:r>
      <w:r>
        <w:t>below the limit in case of station blackout with concomitant</w:t>
      </w:r>
      <w:r w:rsidR="003C5002">
        <w:t xml:space="preserve"> </w:t>
      </w:r>
      <w:r>
        <w:t xml:space="preserve">unavailability of the </w:t>
      </w:r>
      <w:r w:rsidR="008B426F">
        <w:t xml:space="preserve">primary </w:t>
      </w:r>
      <w:r>
        <w:t>DH</w:t>
      </w:r>
      <w:r w:rsidR="008B426F">
        <w:t>R system.</w:t>
      </w:r>
    </w:p>
    <w:p w:rsidR="008B426F" w:rsidRDefault="008B426F" w:rsidP="003C5002">
      <w:pPr>
        <w:pStyle w:val="BodyText"/>
      </w:pPr>
      <w:r>
        <w:t>For this, you just have first to build your CFD model and bring it under nominal operation</w:t>
      </w:r>
      <w:r w:rsidR="001F7BF3">
        <w:t xml:space="preserve">, </w:t>
      </w:r>
      <w:fldSimple w:instr=" REF _Ref477867734 \h  \* MERGEFORMAT ">
        <w:r w:rsidR="003B7F32">
          <w:t>Figure 13</w:t>
        </w:r>
      </w:fldSimple>
      <w:r>
        <w:t>.</w:t>
      </w:r>
    </w:p>
    <w:p w:rsidR="008B426F" w:rsidRDefault="008B426F" w:rsidP="003C5002">
      <w:pPr>
        <w:pStyle w:val="BodyText"/>
      </w:pPr>
      <w:r>
        <w:t>In the XT-ADS, the disposition of th</w:t>
      </w:r>
      <w:r w:rsidR="00355D1B">
        <w:t>e</w:t>
      </w:r>
      <w:r>
        <w:t xml:space="preserve"> sub-systems is such that we had to simulate at least one half of the physical domain</w:t>
      </w:r>
      <w:r w:rsidR="00355D1B">
        <w:t>. The final mesh that came out had 1.7MCells</w:t>
      </w:r>
      <w:r w:rsidR="00E36A4B">
        <w:t xml:space="preserve">, see </w:t>
      </w:r>
      <w:fldSimple w:instr=" REF _Ref477867208 \h  \* MERGEFORMAT ">
        <w:r w:rsidR="003B7F32">
          <w:t>Figure 12</w:t>
        </w:r>
      </w:fldSimple>
      <w:r w:rsidR="00355D1B">
        <w:t>.</w:t>
      </w:r>
    </w:p>
    <w:p w:rsidR="00BB3968" w:rsidRDefault="00BB3968" w:rsidP="008B426F"/>
    <w:p w:rsidR="00BB3968" w:rsidRDefault="00BB3968" w:rsidP="00037A15">
      <w:pPr>
        <w:keepNext/>
        <w:jc w:val="center"/>
      </w:pPr>
      <w:r>
        <w:rPr>
          <w:noProof/>
          <w:lang w:eastAsia="en-GB"/>
        </w:rPr>
        <w:lastRenderedPageBreak/>
        <w:drawing>
          <wp:inline distT="0" distB="0" distL="0" distR="0">
            <wp:extent cx="1579198" cy="1457325"/>
            <wp:effectExtent l="0" t="0" r="2540" b="0"/>
            <wp:docPr id="309260" name="Picture 12" descr="ge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60" name="Picture 12" descr="geom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060" cy="1459044"/>
                    </a:xfrm>
                    <a:prstGeom prst="rect">
                      <a:avLst/>
                    </a:prstGeom>
                    <a:noFill/>
                    <a:ln>
                      <a:noFill/>
                    </a:ln>
                    <a:effectLst/>
                    <a:extLst/>
                  </pic:spPr>
                </pic:pic>
              </a:graphicData>
            </a:graphic>
          </wp:inline>
        </w:drawing>
      </w:r>
      <w:r>
        <w:rPr>
          <w:noProof/>
          <w:lang w:eastAsia="en-GB"/>
        </w:rPr>
        <w:drawing>
          <wp:inline distT="0" distB="0" distL="0" distR="0">
            <wp:extent cx="1592882" cy="1457256"/>
            <wp:effectExtent l="0" t="0" r="7620" b="0"/>
            <wp:docPr id="311302" name="Picture 6" descr="geo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02" name="Picture 6" descr="geom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2882" cy="1457256"/>
                    </a:xfrm>
                    <a:prstGeom prst="rect">
                      <a:avLst/>
                    </a:prstGeom>
                    <a:noFill/>
                    <a:ln>
                      <a:noFill/>
                    </a:ln>
                    <a:effectLst/>
                    <a:extLst/>
                  </pic:spPr>
                </pic:pic>
              </a:graphicData>
            </a:graphic>
          </wp:inline>
        </w:drawing>
      </w:r>
      <w:r>
        <w:rPr>
          <w:noProof/>
          <w:lang w:eastAsia="en-GB"/>
        </w:rPr>
        <w:drawing>
          <wp:inline distT="0" distB="0" distL="0" distR="0">
            <wp:extent cx="2054859" cy="1471332"/>
            <wp:effectExtent l="0" t="0" r="3175" b="0"/>
            <wp:docPr id="349194" name="Picture 10" descr="mesh_fin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94" name="Picture 10" descr="mesh_final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0433" cy="1475323"/>
                    </a:xfrm>
                    <a:prstGeom prst="rect">
                      <a:avLst/>
                    </a:prstGeom>
                    <a:noFill/>
                    <a:ln>
                      <a:noFill/>
                    </a:ln>
                    <a:effectLst/>
                    <a:extLst/>
                  </pic:spPr>
                </pic:pic>
              </a:graphicData>
            </a:graphic>
          </wp:inline>
        </w:drawing>
      </w:r>
    </w:p>
    <w:p w:rsidR="00BB3968" w:rsidRDefault="00BB3968" w:rsidP="00037A15">
      <w:pPr>
        <w:pStyle w:val="Caption"/>
        <w:jc w:val="center"/>
      </w:pPr>
      <w:bookmarkStart w:id="25" w:name="_Ref477867208"/>
      <w:r>
        <w:t xml:space="preserve">Figure </w:t>
      </w:r>
      <w:r w:rsidR="00066E55">
        <w:fldChar w:fldCharType="begin"/>
      </w:r>
      <w:r>
        <w:instrText xml:space="preserve"> SEQ Figure \* ARABIC </w:instrText>
      </w:r>
      <w:r w:rsidR="00066E55">
        <w:fldChar w:fldCharType="separate"/>
      </w:r>
      <w:r w:rsidR="003B7F32">
        <w:rPr>
          <w:noProof/>
        </w:rPr>
        <w:t>12</w:t>
      </w:r>
      <w:r w:rsidR="00066E55">
        <w:fldChar w:fldCharType="end"/>
      </w:r>
      <w:bookmarkEnd w:id="25"/>
      <w:r>
        <w:t>XT-ADS computational domain and mesh.</w:t>
      </w:r>
    </w:p>
    <w:p w:rsidR="00BB3968" w:rsidRDefault="00BB3968" w:rsidP="00037A15">
      <w:pPr>
        <w:keepNext/>
        <w:jc w:val="center"/>
      </w:pPr>
      <w:r>
        <w:br w:type="textWrapping" w:clear="all"/>
      </w:r>
      <w:r>
        <w:rPr>
          <w:noProof/>
          <w:lang w:eastAsia="en-GB"/>
        </w:rPr>
        <w:drawing>
          <wp:inline distT="0" distB="0" distL="0" distR="0">
            <wp:extent cx="1951070" cy="1731928"/>
            <wp:effectExtent l="0" t="0" r="0" b="1905"/>
            <wp:docPr id="327686" name="Picture 6" descr="temperature00s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86" name="Picture 6" descr="temperature00s_front"/>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66" r="5666"/>
                    <a:stretch>
                      <a:fillRect/>
                    </a:stretch>
                  </pic:blipFill>
                  <pic:spPr bwMode="auto">
                    <a:xfrm>
                      <a:off x="0" y="0"/>
                      <a:ext cx="1954272" cy="1734770"/>
                    </a:xfrm>
                    <a:prstGeom prst="rect">
                      <a:avLst/>
                    </a:prstGeom>
                    <a:noFill/>
                    <a:ln>
                      <a:noFill/>
                    </a:ln>
                    <a:effectLst/>
                    <a:extLst/>
                  </pic:spPr>
                </pic:pic>
              </a:graphicData>
            </a:graphic>
          </wp:inline>
        </w:drawing>
      </w:r>
      <w:r w:rsidRPr="00BB3968">
        <w:rPr>
          <w:noProof/>
          <w:lang w:val="en-US"/>
        </w:rPr>
        <w:t xml:space="preserve"> </w:t>
      </w:r>
      <w:r>
        <w:rPr>
          <w:noProof/>
          <w:lang w:eastAsia="en-GB"/>
        </w:rPr>
        <w:drawing>
          <wp:inline distT="0" distB="0" distL="0" distR="0">
            <wp:extent cx="1982841" cy="1733550"/>
            <wp:effectExtent l="0" t="0" r="0" b="0"/>
            <wp:docPr id="327687" name="Picture 7" descr="vmag00s_fro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87" name="Picture 7" descr="vmag00s_front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47" r="5647"/>
                    <a:stretch>
                      <a:fillRect/>
                    </a:stretch>
                  </pic:blipFill>
                  <pic:spPr bwMode="auto">
                    <a:xfrm>
                      <a:off x="0" y="0"/>
                      <a:ext cx="1983663" cy="1734269"/>
                    </a:xfrm>
                    <a:prstGeom prst="rect">
                      <a:avLst/>
                    </a:prstGeom>
                    <a:noFill/>
                    <a:ln>
                      <a:noFill/>
                    </a:ln>
                    <a:effectLst/>
                    <a:extLst/>
                  </pic:spPr>
                </pic:pic>
              </a:graphicData>
            </a:graphic>
          </wp:inline>
        </w:drawing>
      </w:r>
      <w:r w:rsidR="00E36A4B" w:rsidRPr="00E36A4B">
        <w:rPr>
          <w:noProof/>
          <w:lang w:val="en-US"/>
        </w:rPr>
        <w:t xml:space="preserve"> </w:t>
      </w:r>
      <w:r w:rsidR="00E36A4B">
        <w:rPr>
          <w:noProof/>
          <w:lang w:eastAsia="en-GB"/>
        </w:rPr>
        <w:drawing>
          <wp:inline distT="0" distB="0" distL="0" distR="0">
            <wp:extent cx="1287929" cy="1733550"/>
            <wp:effectExtent l="0" t="0" r="7620" b="0"/>
            <wp:docPr id="315398" name="Picture 6" descr="vmag0s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98" name="Picture 6" descr="vmag0s_back"/>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8282" cy="1734025"/>
                    </a:xfrm>
                    <a:prstGeom prst="rect">
                      <a:avLst/>
                    </a:prstGeom>
                    <a:noFill/>
                    <a:ln>
                      <a:noFill/>
                    </a:ln>
                    <a:effectLst/>
                    <a:extLst/>
                  </pic:spPr>
                </pic:pic>
              </a:graphicData>
            </a:graphic>
          </wp:inline>
        </w:drawing>
      </w:r>
    </w:p>
    <w:p w:rsidR="00BB3968" w:rsidRDefault="00BB3968" w:rsidP="00037A15">
      <w:pPr>
        <w:pStyle w:val="Caption"/>
        <w:jc w:val="center"/>
      </w:pPr>
      <w:bookmarkStart w:id="26" w:name="_Ref477867734"/>
      <w:r>
        <w:t xml:space="preserve">Figure </w:t>
      </w:r>
      <w:r w:rsidR="00066E55">
        <w:fldChar w:fldCharType="begin"/>
      </w:r>
      <w:r>
        <w:instrText xml:space="preserve"> SEQ Figure \* ARABIC </w:instrText>
      </w:r>
      <w:r w:rsidR="00066E55">
        <w:fldChar w:fldCharType="separate"/>
      </w:r>
      <w:r w:rsidR="003B7F32">
        <w:rPr>
          <w:noProof/>
        </w:rPr>
        <w:t>13</w:t>
      </w:r>
      <w:r w:rsidR="00066E55">
        <w:fldChar w:fldCharType="end"/>
      </w:r>
      <w:bookmarkEnd w:id="26"/>
      <w:r>
        <w:t xml:space="preserve">: </w:t>
      </w:r>
      <w:r w:rsidR="00E36A4B">
        <w:t>XT-ADS steady state. Left: temperature. Centre and right: velocity magnitude.</w:t>
      </w:r>
    </w:p>
    <w:p w:rsidR="001F7BF3" w:rsidRDefault="001F7BF3" w:rsidP="00037A15">
      <w:pPr>
        <w:keepNext/>
        <w:jc w:val="center"/>
      </w:pPr>
      <w:r>
        <w:rPr>
          <w:noProof/>
          <w:lang w:eastAsia="en-GB"/>
        </w:rPr>
        <w:drawing>
          <wp:inline distT="0" distB="0" distL="0" distR="0">
            <wp:extent cx="3238500" cy="1546590"/>
            <wp:effectExtent l="0" t="0" r="0" b="0"/>
            <wp:docPr id="334854" name="Picture 6" descr="TandVfront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54" name="Picture 6" descr="TandVfront20000"/>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247" t="19339" r="16873" b="6908"/>
                    <a:stretch>
                      <a:fillRect/>
                    </a:stretch>
                  </pic:blipFill>
                  <pic:spPr bwMode="auto">
                    <a:xfrm>
                      <a:off x="0" y="0"/>
                      <a:ext cx="3237616" cy="1546168"/>
                    </a:xfrm>
                    <a:prstGeom prst="rect">
                      <a:avLst/>
                    </a:prstGeom>
                    <a:noFill/>
                    <a:ln>
                      <a:noFill/>
                    </a:ln>
                    <a:effectLst/>
                    <a:extLst/>
                  </pic:spPr>
                </pic:pic>
              </a:graphicData>
            </a:graphic>
          </wp:inline>
        </w:drawing>
      </w:r>
      <w:r>
        <w:rPr>
          <w:noProof/>
          <w:lang w:eastAsia="en-GB"/>
        </w:rPr>
        <w:drawing>
          <wp:inline distT="0" distB="0" distL="0" distR="0">
            <wp:extent cx="2162175" cy="1516064"/>
            <wp:effectExtent l="0" t="0" r="0" b="8255"/>
            <wp:docPr id="336904" name="Picture 8" descr="XTADS20000Ma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04" name="Picture 8" descr="XTADS20000MaxT"/>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9395" cy="1528138"/>
                    </a:xfrm>
                    <a:prstGeom prst="rect">
                      <a:avLst/>
                    </a:prstGeom>
                    <a:noFill/>
                    <a:ln>
                      <a:noFill/>
                    </a:ln>
                    <a:effectLst/>
                    <a:extLst/>
                  </pic:spPr>
                </pic:pic>
              </a:graphicData>
            </a:graphic>
          </wp:inline>
        </w:drawing>
      </w:r>
    </w:p>
    <w:p w:rsidR="001F7BF3" w:rsidRPr="001F7BF3" w:rsidRDefault="001F7BF3" w:rsidP="00037A15">
      <w:pPr>
        <w:pStyle w:val="Caption"/>
        <w:jc w:val="center"/>
      </w:pPr>
      <w:bookmarkStart w:id="27" w:name="_Ref477868129"/>
      <w:r>
        <w:t xml:space="preserve">Figure </w:t>
      </w:r>
      <w:r w:rsidR="00066E55">
        <w:fldChar w:fldCharType="begin"/>
      </w:r>
      <w:r>
        <w:instrText xml:space="preserve"> SEQ Figure \* ARABIC </w:instrText>
      </w:r>
      <w:r w:rsidR="00066E55">
        <w:fldChar w:fldCharType="separate"/>
      </w:r>
      <w:r w:rsidR="003B7F32">
        <w:rPr>
          <w:noProof/>
        </w:rPr>
        <w:t>14</w:t>
      </w:r>
      <w:r w:rsidR="00066E55">
        <w:fldChar w:fldCharType="end"/>
      </w:r>
      <w:bookmarkEnd w:id="27"/>
      <w:r>
        <w:t xml:space="preserve">: XT-ADS shut down transient. Left: temperature. </w:t>
      </w:r>
      <w:proofErr w:type="spellStart"/>
      <w:r>
        <w:t>Center</w:t>
      </w:r>
      <w:proofErr w:type="spellEnd"/>
      <w:r>
        <w:t xml:space="preserve">: velocity magnitude. </w:t>
      </w:r>
      <w:r w:rsidR="00037A15">
        <w:t>Right</w:t>
      </w:r>
      <w:r>
        <w:t>: time evolution of maximum temperature.</w:t>
      </w:r>
    </w:p>
    <w:p w:rsidR="00E36A4B" w:rsidRDefault="00E36A4B" w:rsidP="00E36A4B">
      <w:pPr>
        <w:pStyle w:val="BodyText"/>
      </w:pPr>
      <w:r>
        <w:t>The simulation domain is an assembly of fluid volumes with the interfaces treated either as internal (free path), porous baffle (local flow resistance) or plain conducting baffle.</w:t>
      </w:r>
      <w:r w:rsidR="001F7BF3">
        <w:t xml:space="preserve"> No structural part is present.</w:t>
      </w:r>
    </w:p>
    <w:p w:rsidR="001F7BF3" w:rsidRDefault="001F7BF3" w:rsidP="00E36A4B">
      <w:pPr>
        <w:pStyle w:val="BodyText"/>
      </w:pPr>
      <w:r>
        <w:t>The simulation confirmed two things. First, the flow in outlet of the pump is strong enough so that there is no sta</w:t>
      </w:r>
      <w:r w:rsidR="00D645E8">
        <w:t>gnation region at the bottom of</w:t>
      </w:r>
      <w:r>
        <w:t xml:space="preserve"> the vessel, see </w:t>
      </w:r>
      <w:fldSimple w:instr=" REF _Ref477867734 \h  \* MERGEFORMAT ">
        <w:r w:rsidR="003B7F32">
          <w:t>Figure 13</w:t>
        </w:r>
      </w:fldSimple>
      <w:r>
        <w:t xml:space="preserve"> right. Second, as it is and consistently with system code simulations, the RVACS system is not adequate to ensure a sufficient</w:t>
      </w:r>
      <w:r w:rsidR="000A6BEB">
        <w:t>ly long</w:t>
      </w:r>
      <w:r>
        <w:t xml:space="preserve"> grace </w:t>
      </w:r>
      <w:proofErr w:type="gramStart"/>
      <w:r>
        <w:t>time,</w:t>
      </w:r>
      <w:proofErr w:type="gramEnd"/>
      <w:r>
        <w:t xml:space="preserve"> see </w:t>
      </w:r>
      <w:fldSimple w:instr=" REF _Ref477868129 \h  \* MERGEFORMAT ">
        <w:r w:rsidR="003B7F32">
          <w:t>Figure 14</w:t>
        </w:r>
      </w:fldSimple>
      <w:r>
        <w:t>.</w:t>
      </w:r>
    </w:p>
    <w:p w:rsidR="005F5D3B" w:rsidRDefault="005F5D3B" w:rsidP="00E36A4B">
      <w:pPr>
        <w:pStyle w:val="BodyText"/>
      </w:pPr>
      <w:r>
        <w:t>From the CFD point of view, this is the first time that we closed a 3D thermal loop.</w:t>
      </w:r>
    </w:p>
    <w:p w:rsidR="00B53F0E" w:rsidRDefault="00B53F0E" w:rsidP="00B53F0E">
      <w:pPr>
        <w:pStyle w:val="Heading2"/>
      </w:pPr>
      <w:bookmarkStart w:id="28" w:name="_Toc478990079"/>
      <w:r w:rsidRPr="00B53F0E">
        <w:lastRenderedPageBreak/>
        <w:t>FASTEF: “Fast-Spectrum Transmutation Experimental Facility”</w:t>
      </w:r>
      <w:bookmarkEnd w:id="28"/>
    </w:p>
    <w:p w:rsidR="005F5D3B" w:rsidRDefault="005F5D3B" w:rsidP="003C5002">
      <w:pPr>
        <w:pStyle w:val="BodyText"/>
      </w:pPr>
      <w:r>
        <w:t>One of the main drawback</w:t>
      </w:r>
      <w:r w:rsidR="003C5002">
        <w:t>s</w:t>
      </w:r>
      <w:r>
        <w:t xml:space="preserve"> of the XT-ADS simulation is the inability to take into account the different free-surface levels of the h</w:t>
      </w:r>
      <w:r w:rsidR="000A6BEB">
        <w:t>ot and cold plenum respectively</w:t>
      </w:r>
      <w:r>
        <w:t xml:space="preserve"> and their evolution during transients involving a change of regime of the pumps.</w:t>
      </w:r>
    </w:p>
    <w:p w:rsidR="005F5D3B" w:rsidRDefault="005F5D3B" w:rsidP="003C5002">
      <w:pPr>
        <w:pStyle w:val="BodyText"/>
      </w:pPr>
      <w:r>
        <w:t>This aspect is addressed in the following simulation, performed in the framework of the CDT FP7 European Project (2009-2012). The aim of the simulation is to understand what could happen in case of tube rupture in an HX of FASTEF</w:t>
      </w:r>
      <w:r w:rsidR="00EF0E9F">
        <w:t>. The main concern was whether some vapour would enter the fuel assemblies.</w:t>
      </w:r>
    </w:p>
    <w:p w:rsidR="00EF0E9F" w:rsidRDefault="00EF0E9F" w:rsidP="003C5002">
      <w:pPr>
        <w:pStyle w:val="BodyText"/>
      </w:pPr>
      <w:r>
        <w:t>We made a very preliminary evaluation in which a quite large quantity of gas was produced at some place of one HX tube. We could not found ways to restrict the computational domain without taking the risk to strongly affect the physic of the problem. We ended by creating an entire closed loop mimicking the behaviour of the entire F</w:t>
      </w:r>
      <w:r w:rsidR="00281606">
        <w:t xml:space="preserve">ASTEF primary </w:t>
      </w:r>
      <w:proofErr w:type="gramStart"/>
      <w:r w:rsidR="00281606">
        <w:t>loop</w:t>
      </w:r>
      <w:r w:rsidR="009D33DD">
        <w:t>,</w:t>
      </w:r>
      <w:proofErr w:type="gramEnd"/>
      <w:r w:rsidR="009D33DD">
        <w:t xml:space="preserve"> see the geometry in </w:t>
      </w:r>
      <w:fldSimple w:instr=" REF _Ref477874162 \h  \* MERGEFORMAT ">
        <w:r w:rsidR="003B7F32">
          <w:t>Figure 15</w:t>
        </w:r>
      </w:fldSimple>
      <w:r w:rsidR="00281606">
        <w:t>, including tw</w:t>
      </w:r>
      <w:r>
        <w:t>o free surfaces at different levels</w:t>
      </w:r>
      <w:r w:rsidR="009D33DD">
        <w:t xml:space="preserve">, see </w:t>
      </w:r>
      <w:fldSimple w:instr=" REF _Ref477874129 \h  \* MERGEFORMAT ">
        <w:r w:rsidR="003B7F32">
          <w:t>Figure 16</w:t>
        </w:r>
      </w:fldSimple>
      <w:r w:rsidR="009D33DD">
        <w:t xml:space="preserve"> left</w:t>
      </w:r>
      <w:r>
        <w:t>.</w:t>
      </w:r>
    </w:p>
    <w:p w:rsidR="00EF0E9F" w:rsidRDefault="00EF0E9F" w:rsidP="005F5D3B"/>
    <w:p w:rsidR="006B5688" w:rsidRDefault="006B5688" w:rsidP="00037A15">
      <w:pPr>
        <w:keepNext/>
        <w:jc w:val="center"/>
      </w:pPr>
      <w:r>
        <w:rPr>
          <w:noProof/>
          <w:lang w:eastAsia="en-GB"/>
        </w:rPr>
        <w:drawing>
          <wp:inline distT="0" distB="0" distL="0" distR="0">
            <wp:extent cx="1412110" cy="1962150"/>
            <wp:effectExtent l="0" t="0" r="0" b="0"/>
            <wp:docPr id="241679" name="Picture 15" descr="TubeRup2CompDoma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79" name="Picture 15" descr="TubeRup2CompDomain2"/>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143" r="11704"/>
                    <a:stretch/>
                  </pic:blipFill>
                  <pic:spPr bwMode="auto">
                    <a:xfrm>
                      <a:off x="0" y="0"/>
                      <a:ext cx="1416922" cy="1968836"/>
                    </a:xfrm>
                    <a:prstGeom prst="rect">
                      <a:avLst/>
                    </a:prstGeom>
                    <a:noFill/>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en-GB"/>
        </w:rPr>
        <w:drawing>
          <wp:inline distT="0" distB="0" distL="0" distR="0">
            <wp:extent cx="2057400" cy="1433336"/>
            <wp:effectExtent l="0" t="0" r="0" b="0"/>
            <wp:docPr id="246788" name="Picture 4" descr="TubeRup2CompDomainZoo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88" name="Picture 4" descr="TubeRup2CompDomainZoom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8468" cy="1434080"/>
                    </a:xfrm>
                    <a:prstGeom prst="rect">
                      <a:avLst/>
                    </a:prstGeom>
                    <a:noFill/>
                    <a:ln>
                      <a:noFill/>
                    </a:ln>
                    <a:effectLst/>
                    <a:extLst/>
                  </pic:spPr>
                </pic:pic>
              </a:graphicData>
            </a:graphic>
          </wp:inline>
        </w:drawing>
      </w:r>
      <w:r>
        <w:rPr>
          <w:noProof/>
          <w:lang w:eastAsia="en-GB"/>
        </w:rPr>
        <w:drawing>
          <wp:inline distT="0" distB="0" distL="0" distR="0">
            <wp:extent cx="2057400" cy="1433582"/>
            <wp:effectExtent l="0" t="0" r="0" b="0"/>
            <wp:docPr id="246790" name="Picture 6" descr="TubeRup2CompDomainZo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90" name="Picture 6" descr="TubeRup2CompDomainZoom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9273" cy="1434887"/>
                    </a:xfrm>
                    <a:prstGeom prst="rect">
                      <a:avLst/>
                    </a:prstGeom>
                    <a:noFill/>
                    <a:ln>
                      <a:noFill/>
                    </a:ln>
                    <a:effectLst/>
                    <a:extLst/>
                  </pic:spPr>
                </pic:pic>
              </a:graphicData>
            </a:graphic>
          </wp:inline>
        </w:drawing>
      </w:r>
    </w:p>
    <w:p w:rsidR="006B5688" w:rsidRDefault="006B5688" w:rsidP="00037A15">
      <w:pPr>
        <w:pStyle w:val="Caption"/>
        <w:jc w:val="center"/>
      </w:pPr>
      <w:bookmarkStart w:id="29" w:name="_Ref477874162"/>
      <w:r>
        <w:t xml:space="preserve">Figure </w:t>
      </w:r>
      <w:r w:rsidR="00066E55">
        <w:fldChar w:fldCharType="begin"/>
      </w:r>
      <w:r>
        <w:instrText xml:space="preserve"> SEQ Figure \* ARABIC </w:instrText>
      </w:r>
      <w:r w:rsidR="00066E55">
        <w:fldChar w:fldCharType="separate"/>
      </w:r>
      <w:r w:rsidR="003B7F32">
        <w:rPr>
          <w:noProof/>
        </w:rPr>
        <w:t>15</w:t>
      </w:r>
      <w:r w:rsidR="00066E55">
        <w:fldChar w:fldCharType="end"/>
      </w:r>
      <w:bookmarkEnd w:id="29"/>
      <w:r>
        <w:t xml:space="preserve">: FASTEF tube rupture simulation. </w:t>
      </w:r>
      <w:proofErr w:type="gramStart"/>
      <w:r>
        <w:t>Geometry of the computational domain.</w:t>
      </w:r>
      <w:proofErr w:type="gramEnd"/>
    </w:p>
    <w:p w:rsidR="00281606" w:rsidRDefault="006B5688" w:rsidP="00037A15">
      <w:pPr>
        <w:keepNext/>
        <w:jc w:val="center"/>
      </w:pPr>
      <w:r>
        <w:rPr>
          <w:noProof/>
          <w:lang w:eastAsia="en-GB"/>
        </w:rPr>
        <w:drawing>
          <wp:inline distT="0" distB="0" distL="0" distR="0">
            <wp:extent cx="2856536" cy="1990725"/>
            <wp:effectExtent l="0" t="0" r="1270" b="0"/>
            <wp:docPr id="272388" name="Picture 4" descr="Scene_1Blow50l0000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88" name="Picture 4" descr="Scene_1Blow50l00001">
                      <a:hlinkClick r:id="rId47" action="ppaction://hlinkfile"/>
                    </pic:cNvPr>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9204" cy="1992585"/>
                    </a:xfrm>
                    <a:prstGeom prst="rect">
                      <a:avLst/>
                    </a:prstGeom>
                    <a:noFill/>
                    <a:ln>
                      <a:noFill/>
                    </a:ln>
                    <a:effectLst/>
                    <a:extLst/>
                  </pic:spPr>
                </pic:pic>
              </a:graphicData>
            </a:graphic>
          </wp:inline>
        </w:drawing>
      </w:r>
      <w:r w:rsidR="00281606">
        <w:rPr>
          <w:noProof/>
          <w:lang w:eastAsia="en-GB"/>
        </w:rPr>
        <w:drawing>
          <wp:inline distT="0" distB="0" distL="0" distR="0">
            <wp:extent cx="2492619" cy="1800225"/>
            <wp:effectExtent l="0" t="0" r="3175" b="0"/>
            <wp:docPr id="264196" name="Picture 4" descr="Transient50l_2_VF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96" name="Picture 4" descr="Transient50l_2_VFsource"/>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5666" cy="1802426"/>
                    </a:xfrm>
                    <a:prstGeom prst="rect">
                      <a:avLst/>
                    </a:prstGeom>
                    <a:noFill/>
                    <a:ln>
                      <a:noFill/>
                    </a:ln>
                    <a:effectLst/>
                    <a:extLst/>
                  </pic:spPr>
                </pic:pic>
              </a:graphicData>
            </a:graphic>
          </wp:inline>
        </w:drawing>
      </w:r>
    </w:p>
    <w:p w:rsidR="006B5688" w:rsidRDefault="00281606" w:rsidP="00037A15">
      <w:pPr>
        <w:pStyle w:val="Caption"/>
        <w:jc w:val="center"/>
      </w:pPr>
      <w:bookmarkStart w:id="30" w:name="_Ref477874129"/>
      <w:r>
        <w:t xml:space="preserve">Figure </w:t>
      </w:r>
      <w:r w:rsidR="00066E55">
        <w:fldChar w:fldCharType="begin"/>
      </w:r>
      <w:r>
        <w:instrText xml:space="preserve"> SEQ Figure \* ARABIC </w:instrText>
      </w:r>
      <w:r w:rsidR="00066E55">
        <w:fldChar w:fldCharType="separate"/>
      </w:r>
      <w:r w:rsidR="003B7F32">
        <w:rPr>
          <w:noProof/>
        </w:rPr>
        <w:t>16</w:t>
      </w:r>
      <w:r w:rsidR="00066E55">
        <w:fldChar w:fldCharType="end"/>
      </w:r>
      <w:bookmarkEnd w:id="30"/>
      <w:r>
        <w:t>:</w:t>
      </w:r>
      <w:r w:rsidRPr="00281606">
        <w:t xml:space="preserve"> </w:t>
      </w:r>
      <w:r>
        <w:t>FASTEF tube rupture simulation. Left: steady state free-surface levels. Right: localization of the steam source term.</w:t>
      </w:r>
    </w:p>
    <w:p w:rsidR="006B5688" w:rsidRDefault="00281606" w:rsidP="006B5688">
      <w:pPr>
        <w:pStyle w:val="BodyText"/>
      </w:pPr>
      <w:r>
        <w:lastRenderedPageBreak/>
        <w:t>The pump thrust is modelled with a localised downward volume force and the core resistance by a localised quadratic hydraulic resistance.</w:t>
      </w:r>
      <w:r w:rsidR="009D33DD">
        <w:t xml:space="preserve"> Being a “cold” simulation, the structural part is not present but has some width. The Volume of Fluid (</w:t>
      </w:r>
      <w:proofErr w:type="spellStart"/>
      <w:r w:rsidR="009D33DD">
        <w:t>VoF</w:t>
      </w:r>
      <w:proofErr w:type="spellEnd"/>
      <w:r w:rsidR="009D33DD">
        <w:t xml:space="preserve">) setting has been used. The virtual steam is created around the bottom of a tube closest to the pump outlet, as shown in </w:t>
      </w:r>
      <w:fldSimple w:instr=" REF _Ref477874129 \h  \* MERGEFORMAT ">
        <w:r w:rsidR="003B7F32">
          <w:t>Figure 16</w:t>
        </w:r>
      </w:fldSimple>
      <w:r w:rsidR="009D33DD">
        <w:t xml:space="preserve"> left, by means of a localised light phase volume fraction source.</w:t>
      </w:r>
    </w:p>
    <w:p w:rsidR="00B3100C" w:rsidRDefault="00B3100C" w:rsidP="003C5002">
      <w:pPr>
        <w:pStyle w:val="BodyText"/>
      </w:pPr>
      <w:r>
        <w:t xml:space="preserve">The use of the </w:t>
      </w:r>
      <w:proofErr w:type="spellStart"/>
      <w:r>
        <w:t>VoF</w:t>
      </w:r>
      <w:proofErr w:type="spellEnd"/>
      <w:r>
        <w:t xml:space="preserve"> setting in a closed loop was not straightforward. The main issue was the slow accumulation and growth of a mixed layer. The control of the sharpness of the free-surface for long time has been acquired by implementing an in-house modelling that was developed and tested in the framework of yet another</w:t>
      </w:r>
      <w:r w:rsidR="00D95742">
        <w:t xml:space="preserve"> FP7 project named THINS (2010-2014).</w:t>
      </w:r>
    </w:p>
    <w:p w:rsidR="0013551E" w:rsidRDefault="00D95742" w:rsidP="003C5002">
      <w:pPr>
        <w:pStyle w:val="BodyText"/>
      </w:pPr>
      <w:r>
        <w:t xml:space="preserve">Thanks to the know-how accumulated in these years, it slowly became clear that </w:t>
      </w:r>
      <w:r w:rsidR="0013551E">
        <w:t>a versatile</w:t>
      </w:r>
      <w:r>
        <w:t xml:space="preserve"> CFD </w:t>
      </w:r>
      <w:r w:rsidR="0013551E">
        <w:t>model</w:t>
      </w:r>
      <w:r>
        <w:t xml:space="preserve"> of a large entire closed thermal loop in pool configuration such as the</w:t>
      </w:r>
      <w:r w:rsidR="0013551E">
        <w:t xml:space="preserve"> MYRRHA primary coolant </w:t>
      </w:r>
      <w:proofErr w:type="gramStart"/>
      <w:r w:rsidR="0013551E">
        <w:t>system,</w:t>
      </w:r>
      <w:proofErr w:type="gramEnd"/>
      <w:r w:rsidR="0013551E">
        <w:t xml:space="preserve"> was at hand. This is the subject of the next chapter.</w:t>
      </w:r>
    </w:p>
    <w:p w:rsidR="0013551E" w:rsidRDefault="0013551E" w:rsidP="0013551E">
      <w:pPr>
        <w:pStyle w:val="Heading1"/>
      </w:pPr>
      <w:bookmarkStart w:id="31" w:name="_Toc478990080"/>
      <w:r>
        <w:t>CFD Models of MYRRHA</w:t>
      </w:r>
      <w:bookmarkEnd w:id="31"/>
    </w:p>
    <w:p w:rsidR="0013551E" w:rsidRDefault="00BF6568" w:rsidP="0013551E">
      <w:pPr>
        <w:pStyle w:val="Heading2"/>
      </w:pPr>
      <w:bookmarkStart w:id="32" w:name="_Toc478990081"/>
      <w:r>
        <w:t>SEARCH</w:t>
      </w:r>
      <w:proofErr w:type="gramStart"/>
      <w:r>
        <w:t>: ”</w:t>
      </w:r>
      <w:proofErr w:type="gramEnd"/>
      <w:r>
        <w:t xml:space="preserve">Safe </w:t>
      </w:r>
      <w:proofErr w:type="spellStart"/>
      <w:r>
        <w:t>ExploitAtion</w:t>
      </w:r>
      <w:proofErr w:type="spellEnd"/>
      <w:r>
        <w:t xml:space="preserve"> Related Chemistry for HLM reactors” </w:t>
      </w:r>
      <w:r w:rsidR="006B2856">
        <w:t>(2011-2015</w:t>
      </w:r>
      <w:r w:rsidR="00467AA0">
        <w:t>)</w:t>
      </w:r>
      <w:bookmarkEnd w:id="32"/>
    </w:p>
    <w:p w:rsidR="00BF6568" w:rsidRPr="00BF6568" w:rsidRDefault="00BF6568" w:rsidP="003C5002">
      <w:pPr>
        <w:pStyle w:val="BodyText"/>
      </w:pPr>
      <w:r>
        <w:t xml:space="preserve">SEARCH is a FP7 project. The objective of its WP5 was to model </w:t>
      </w:r>
      <w:proofErr w:type="gramStart"/>
      <w:r>
        <w:t>a possible</w:t>
      </w:r>
      <w:proofErr w:type="gramEnd"/>
      <w:r>
        <w:t xml:space="preserve"> fuel dispersion in MYRRHA to evaluate the possibility of some kind of re-</w:t>
      </w:r>
      <w:proofErr w:type="spellStart"/>
      <w:r>
        <w:t>criticalisation</w:t>
      </w:r>
      <w:proofErr w:type="spellEnd"/>
      <w:r>
        <w:t xml:space="preserve"> under incidental conditions.</w:t>
      </w:r>
    </w:p>
    <w:p w:rsidR="0013551E" w:rsidRDefault="00BF6568" w:rsidP="003C5002">
      <w:pPr>
        <w:pStyle w:val="BodyText"/>
      </w:pPr>
      <w:r>
        <w:t xml:space="preserve">This requires </w:t>
      </w:r>
      <w:r w:rsidR="006F3752">
        <w:t xml:space="preserve">as pre-requisite </w:t>
      </w:r>
      <w:r>
        <w:t>at least a consistent modelling of the entire primary coolant loop.</w:t>
      </w:r>
      <w:r w:rsidR="006460BC">
        <w:t xml:space="preserve"> And in fact </w:t>
      </w:r>
      <w:r w:rsidR="0060075F">
        <w:t>th</w:t>
      </w:r>
      <w:r w:rsidR="006460BC">
        <w:t>is was the primary objective during the first part of the project.</w:t>
      </w:r>
    </w:p>
    <w:p w:rsidR="00BF6568" w:rsidRDefault="00D63C87" w:rsidP="003C5002">
      <w:pPr>
        <w:pStyle w:val="BodyText"/>
      </w:pPr>
      <w:r>
        <w:t xml:space="preserve">As we were to deal with nuclear safety issues, we proposed to apply to the project the classical features of nuclear safety </w:t>
      </w:r>
      <w:proofErr w:type="gramStart"/>
      <w:r>
        <w:t>issues, that</w:t>
      </w:r>
      <w:proofErr w:type="gramEnd"/>
      <w:r>
        <w:t xml:space="preserve"> is: redundancy and diversification.</w:t>
      </w:r>
    </w:p>
    <w:p w:rsidR="00D63C87" w:rsidRDefault="00D63C87" w:rsidP="003C5002">
      <w:pPr>
        <w:pStyle w:val="BodyText"/>
      </w:pPr>
      <w:r>
        <w:t>Diversification was first obtained by modelling both with CFD and by Coarse Mesh System codes</w:t>
      </w:r>
      <w:r w:rsidR="0060075F">
        <w:t xml:space="preserve">, </w:t>
      </w:r>
      <w:r w:rsidR="006460BC">
        <w:t xml:space="preserve">SIMMER-III </w:t>
      </w:r>
      <w:r w:rsidR="0060075F">
        <w:t xml:space="preserve">(2D) </w:t>
      </w:r>
      <w:r w:rsidR="006460BC">
        <w:t>and SIMMER-IV</w:t>
      </w:r>
      <w:r w:rsidR="0060075F">
        <w:t xml:space="preserve"> (3D), </w:t>
      </w:r>
      <w:r>
        <w:t>so as not to depend on only one type of modelling.</w:t>
      </w:r>
      <w:r w:rsidR="006460BC">
        <w:t xml:space="preserve"> The SIMMER approach was performed by KIT, ENEA and UNIPI.</w:t>
      </w:r>
    </w:p>
    <w:p w:rsidR="00D63C87" w:rsidRDefault="00D63C87" w:rsidP="003C5002">
      <w:pPr>
        <w:pStyle w:val="BodyText"/>
      </w:pPr>
      <w:r>
        <w:t>Within the CFD framework, redundancy was obtained by using two different partners to perform essentially the same work:</w:t>
      </w:r>
    </w:p>
    <w:p w:rsidR="00D63C87" w:rsidRDefault="00D63C87" w:rsidP="003C5002">
      <w:pPr>
        <w:pStyle w:val="BodyText"/>
        <w:numPr>
          <w:ilvl w:val="0"/>
          <w:numId w:val="26"/>
        </w:numPr>
      </w:pPr>
      <w:r>
        <w:t xml:space="preserve">CRS4 modelling with the commercial tool </w:t>
      </w:r>
      <w:proofErr w:type="spellStart"/>
      <w:r>
        <w:t>Starccm</w:t>
      </w:r>
      <w:proofErr w:type="spellEnd"/>
      <w:r>
        <w:t>+ and</w:t>
      </w:r>
    </w:p>
    <w:p w:rsidR="00D63C87" w:rsidRDefault="00D63C87" w:rsidP="003C5002">
      <w:pPr>
        <w:pStyle w:val="BodyText"/>
        <w:numPr>
          <w:ilvl w:val="0"/>
          <w:numId w:val="26"/>
        </w:numPr>
      </w:pPr>
      <w:r>
        <w:t xml:space="preserve">VKI modelling both with a </w:t>
      </w:r>
      <w:r w:rsidR="00D4203D">
        <w:t>commercial tool (Fluent) and wit</w:t>
      </w:r>
      <w:r w:rsidR="001C0654">
        <w:t>h an open source platform (</w:t>
      </w:r>
      <w:proofErr w:type="spellStart"/>
      <w:r w:rsidR="001C0654">
        <w:t>OpenFOAM</w:t>
      </w:r>
      <w:proofErr w:type="spellEnd"/>
      <w:r w:rsidR="00D4203D">
        <w:t>)</w:t>
      </w:r>
    </w:p>
    <w:p w:rsidR="00D4203D" w:rsidRDefault="003C5002" w:rsidP="003C5002">
      <w:pPr>
        <w:pStyle w:val="BodyText"/>
      </w:pPr>
      <w:r>
        <w:lastRenderedPageBreak/>
        <w:t>In this way, the know-</w:t>
      </w:r>
      <w:r w:rsidR="00D4203D">
        <w:t xml:space="preserve">how would be preserved in case of inability of one partner or of one commercial code. Moreover, it would help understand the pro- the con- or the </w:t>
      </w:r>
      <w:proofErr w:type="spellStart"/>
      <w:r w:rsidR="00D4203D">
        <w:t>complementarity</w:t>
      </w:r>
      <w:proofErr w:type="spellEnd"/>
      <w:r w:rsidR="00D4203D">
        <w:t xml:space="preserve"> of commercial vs. open source software.</w:t>
      </w:r>
    </w:p>
    <w:p w:rsidR="00D4203D" w:rsidRDefault="00D4203D" w:rsidP="00D4203D"/>
    <w:p w:rsidR="00D4203D" w:rsidRDefault="00D4203D" w:rsidP="00D4203D">
      <w:pPr>
        <w:pStyle w:val="Heading2"/>
      </w:pPr>
      <w:bookmarkStart w:id="33" w:name="_Toc478990082"/>
      <w:r>
        <w:t>The MYRRHA CFD model by CRS4</w:t>
      </w:r>
      <w:bookmarkEnd w:id="33"/>
    </w:p>
    <w:p w:rsidR="009106B8" w:rsidRDefault="00A3389A" w:rsidP="003C5002">
      <w:pPr>
        <w:pStyle w:val="BodyText"/>
      </w:pPr>
      <w:r>
        <w:t xml:space="preserve">At the beginning of the project, it seemed feasible that, at least in a first step, only ¼ of the domain could be simulated. </w:t>
      </w:r>
      <w:r w:rsidR="009106B8">
        <w:t>And a first model was built, containing most of the foreseen eleme</w:t>
      </w:r>
      <w:r w:rsidR="006C4C02">
        <w:t>n</w:t>
      </w:r>
      <w:r w:rsidR="009106B8">
        <w:t xml:space="preserve">ts, and began to be operated, </w:t>
      </w:r>
      <w:r>
        <w:t xml:space="preserve">as shown in </w:t>
      </w:r>
      <w:fldSimple w:instr=" REF _Ref477939894 \h  \* MERGEFORMAT ">
        <w:r w:rsidR="003B7F32">
          <w:t>Figure 17</w:t>
        </w:r>
      </w:fldSimple>
      <w:r w:rsidR="009106B8">
        <w:t xml:space="preserve">. </w:t>
      </w:r>
    </w:p>
    <w:p w:rsidR="006C4C02" w:rsidRDefault="006C4C02" w:rsidP="003C5002">
      <w:pPr>
        <w:pStyle w:val="BodyText"/>
      </w:pPr>
      <w:r>
        <w:t xml:space="preserve">In the meantime, the MYRRHA design had evolved and the numerical model was born already obsolete. </w:t>
      </w:r>
    </w:p>
    <w:p w:rsidR="00D4203D" w:rsidRDefault="006C4C02" w:rsidP="003C5002">
      <w:pPr>
        <w:pStyle w:val="BodyText"/>
      </w:pPr>
      <w:r>
        <w:t>As a consequence, a new model had to be built. It was agreed to fix the design as for the new one for the duration of the project</w:t>
      </w:r>
      <w:r w:rsidR="006460BC">
        <w:t xml:space="preserve"> (Gothenburg meeting, May 2012)</w:t>
      </w:r>
      <w:r>
        <w:t>. However, t</w:t>
      </w:r>
      <w:r w:rsidR="00D4203D">
        <w:t>he evolution of the MYRRHA design, the degree of precision and versat</w:t>
      </w:r>
      <w:r w:rsidR="004B5C46">
        <w:t>ility foreseen was such that a</w:t>
      </w:r>
      <w:r>
        <w:t xml:space="preserve"> last taboo had to be</w:t>
      </w:r>
      <w:r w:rsidR="00D4203D">
        <w:t xml:space="preserve"> dropped </w:t>
      </w:r>
      <w:r w:rsidR="00467AA0">
        <w:t>down: no more use of ge</w:t>
      </w:r>
      <w:r w:rsidR="00460807">
        <w:t>ometrical/functional symmetries.</w:t>
      </w:r>
      <w:r w:rsidR="00467AA0">
        <w:t xml:space="preserve"> </w:t>
      </w:r>
      <w:r w:rsidR="00460807">
        <w:t>T</w:t>
      </w:r>
      <w:r w:rsidR="00467AA0">
        <w:t xml:space="preserve">he entire 360 degrees of the system </w:t>
      </w:r>
      <w:r>
        <w:t>was</w:t>
      </w:r>
      <w:r w:rsidR="00467AA0">
        <w:t xml:space="preserve"> to be modelled</w:t>
      </w:r>
      <w:r w:rsidR="00106476">
        <w:t xml:space="preserve"> [</w:t>
      </w:r>
      <w:r w:rsidR="00066E55">
        <w:fldChar w:fldCharType="begin"/>
      </w:r>
      <w:r w:rsidR="00106476">
        <w:instrText xml:space="preserve"> REF _Ref478984319 \r \h </w:instrText>
      </w:r>
      <w:r w:rsidR="00066E55">
        <w:fldChar w:fldCharType="separate"/>
      </w:r>
      <w:r w:rsidR="003B7F32">
        <w:t>12</w:t>
      </w:r>
      <w:r w:rsidR="00066E55">
        <w:fldChar w:fldCharType="end"/>
      </w:r>
      <w:r w:rsidR="00106476">
        <w:t>]</w:t>
      </w:r>
      <w:r w:rsidR="00B6355D">
        <w:t xml:space="preserve">, see </w:t>
      </w:r>
      <w:fldSimple w:instr=" REF _Ref477939894 \h  \* MERGEFORMAT ">
        <w:r w:rsidR="003B7F32">
          <w:t>Figure 17</w:t>
        </w:r>
      </w:fldSimple>
      <w:r w:rsidR="00467AA0">
        <w:t xml:space="preserve">. </w:t>
      </w:r>
      <w:r w:rsidR="00EB0E08">
        <w:t>N</w:t>
      </w:r>
      <w:r w:rsidR="0049465A">
        <w:t>o</w:t>
      </w:r>
      <w:r w:rsidR="00EB0E08">
        <w:t xml:space="preserve">w, </w:t>
      </w:r>
      <w:r w:rsidR="006460BC">
        <w:t>five</w:t>
      </w:r>
      <w:r w:rsidR="00EB0E08">
        <w:t xml:space="preserve"> years later, this seems banal, </w:t>
      </w:r>
      <w:r w:rsidR="006460BC">
        <w:t>but in 2012</w:t>
      </w:r>
      <w:r w:rsidR="00EB0E08">
        <w:t>, it was definitively not. Fortunately, massive parallel CFD computation was becoming quite common.</w:t>
      </w:r>
    </w:p>
    <w:p w:rsidR="0049465A" w:rsidRDefault="0049465A" w:rsidP="00D4203D"/>
    <w:p w:rsidR="009106B8" w:rsidRDefault="00A3389A" w:rsidP="00037A15">
      <w:pPr>
        <w:keepNext/>
        <w:jc w:val="center"/>
      </w:pPr>
      <w:r>
        <w:rPr>
          <w:noProof/>
          <w:lang w:eastAsia="en-GB"/>
        </w:rPr>
        <w:lastRenderedPageBreak/>
        <w:drawing>
          <wp:inline distT="0" distB="0" distL="0" distR="0">
            <wp:extent cx="1181100" cy="2539717"/>
            <wp:effectExtent l="0" t="0" r="0" b="0"/>
            <wp:docPr id="55302" name="Picture 6" descr="GeometryOut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2" name="Picture 6" descr="GeometryOutline1"/>
                    <pic:cNvPicPr>
                      <a:picLocks noChangeAspect="1" noChangeArrowheads="1"/>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330" r="37269"/>
                    <a:stretch/>
                  </pic:blipFill>
                  <pic:spPr bwMode="auto">
                    <a:xfrm>
                      <a:off x="0" y="0"/>
                      <a:ext cx="1196466" cy="25727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en-GB"/>
        </w:rPr>
        <w:drawing>
          <wp:inline distT="0" distB="0" distL="0" distR="0">
            <wp:extent cx="1276350" cy="2561563"/>
            <wp:effectExtent l="0" t="0" r="0" b="0"/>
            <wp:docPr id="57351" name="Picture 7" descr="Geometry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1" name="Picture 7" descr="GeometrySolid"/>
                    <pic:cNvPicPr>
                      <a:picLocks noChangeAspect="1" noChangeArrowheads="1"/>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331" r="35025"/>
                    <a:stretch/>
                  </pic:blipFill>
                  <pic:spPr bwMode="auto">
                    <a:xfrm>
                      <a:off x="0" y="0"/>
                      <a:ext cx="1285456" cy="25798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en-GB"/>
        </w:rPr>
        <w:drawing>
          <wp:inline distT="0" distB="0" distL="0" distR="0">
            <wp:extent cx="1676400" cy="2497137"/>
            <wp:effectExtent l="0" t="0" r="0" b="0"/>
            <wp:docPr id="69639" name="Picture 7" descr="InitLBE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9" name="Picture 7" descr="InitLBEVF"/>
                    <pic:cNvPicPr>
                      <a:picLocks noChangeAspect="1" noChangeArrowheads="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982" r="40432"/>
                    <a:stretch/>
                  </pic:blipFill>
                  <pic:spPr bwMode="auto">
                    <a:xfrm>
                      <a:off x="0" y="0"/>
                      <a:ext cx="1685331" cy="25104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en-GB"/>
        </w:rPr>
        <w:drawing>
          <wp:inline distT="0" distB="0" distL="0" distR="0">
            <wp:extent cx="2352675" cy="2480553"/>
            <wp:effectExtent l="0" t="0" r="0" b="0"/>
            <wp:docPr id="79881" name="Picture 9" descr="VMA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1" name="Picture 9" descr="VMAG2"/>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178"/>
                    <a:stretch>
                      <a:fillRect/>
                    </a:stretch>
                  </pic:blipFill>
                  <pic:spPr bwMode="auto">
                    <a:xfrm>
                      <a:off x="0" y="0"/>
                      <a:ext cx="2358782" cy="2486992"/>
                    </a:xfrm>
                    <a:prstGeom prst="rect">
                      <a:avLst/>
                    </a:prstGeom>
                    <a:noFill/>
                    <a:extLst/>
                  </pic:spPr>
                </pic:pic>
              </a:graphicData>
            </a:graphic>
          </wp:inline>
        </w:drawing>
      </w:r>
      <w:r w:rsidR="009106B8">
        <w:rPr>
          <w:noProof/>
          <w:lang w:eastAsia="en-GB"/>
        </w:rPr>
        <w:drawing>
          <wp:inline distT="0" distB="0" distL="0" distR="0">
            <wp:extent cx="2380285" cy="2509664"/>
            <wp:effectExtent l="0" t="0" r="1270" b="5080"/>
            <wp:docPr id="81927" name="Picture 7" descr="TemperatureFluid4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7" name="Picture 7" descr="TemperatureFluid40s"/>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178"/>
                    <a:stretch>
                      <a:fillRect/>
                    </a:stretch>
                  </pic:blipFill>
                  <pic:spPr bwMode="auto">
                    <a:xfrm>
                      <a:off x="0" y="0"/>
                      <a:ext cx="2381799" cy="2511260"/>
                    </a:xfrm>
                    <a:prstGeom prst="rect">
                      <a:avLst/>
                    </a:prstGeom>
                    <a:noFill/>
                    <a:extLst/>
                  </pic:spPr>
                </pic:pic>
              </a:graphicData>
            </a:graphic>
          </wp:inline>
        </w:drawing>
      </w:r>
    </w:p>
    <w:p w:rsidR="00A3389A" w:rsidRDefault="009106B8" w:rsidP="00037A15">
      <w:pPr>
        <w:pStyle w:val="Caption"/>
        <w:jc w:val="center"/>
      </w:pPr>
      <w:bookmarkStart w:id="34" w:name="_Ref477939894"/>
      <w:r>
        <w:t xml:space="preserve">Figure </w:t>
      </w:r>
      <w:r w:rsidR="00066E55">
        <w:fldChar w:fldCharType="begin"/>
      </w:r>
      <w:r>
        <w:instrText xml:space="preserve"> SEQ Figure \* ARABIC </w:instrText>
      </w:r>
      <w:r w:rsidR="00066E55">
        <w:fldChar w:fldCharType="separate"/>
      </w:r>
      <w:r w:rsidR="003B7F32">
        <w:rPr>
          <w:noProof/>
        </w:rPr>
        <w:t>17</w:t>
      </w:r>
      <w:r w:rsidR="00066E55">
        <w:fldChar w:fldCharType="end"/>
      </w:r>
      <w:bookmarkEnd w:id="34"/>
      <w:r>
        <w:t>: MYRRHA ¼ model. Top left: outline. Top centre: solid structure. Top left: free surface levels. Bottom left: velocity magnitude. Bo</w:t>
      </w:r>
      <w:r w:rsidR="00037A15">
        <w:t>ttom Right: temperature field</w:t>
      </w:r>
    </w:p>
    <w:p w:rsidR="0049465A" w:rsidRDefault="00413B1C" w:rsidP="003C5002">
      <w:pPr>
        <w:pStyle w:val="BodyText"/>
      </w:pPr>
      <w:r>
        <w:t xml:space="preserve">The CFD MYRRHA model of CRS4 effectively gathers all the features of the models presented until now, and also new ones, in a single </w:t>
      </w:r>
      <w:r w:rsidR="00460807">
        <w:t>application</w:t>
      </w:r>
      <w:r>
        <w:t>. Here are the main features</w:t>
      </w:r>
      <w:r w:rsidR="00522574">
        <w:t>:</w:t>
      </w:r>
    </w:p>
    <w:p w:rsidR="00413B1C" w:rsidRDefault="00413B1C" w:rsidP="003C5002">
      <w:pPr>
        <w:pStyle w:val="BodyText"/>
        <w:numPr>
          <w:ilvl w:val="0"/>
          <w:numId w:val="27"/>
        </w:numPr>
      </w:pPr>
      <w:r>
        <w:t>No reduction from geometrical/functional symmetries</w:t>
      </w:r>
    </w:p>
    <w:p w:rsidR="00413B1C" w:rsidRDefault="00413B1C" w:rsidP="003C5002">
      <w:pPr>
        <w:pStyle w:val="BodyText"/>
        <w:numPr>
          <w:ilvl w:val="0"/>
          <w:numId w:val="27"/>
        </w:numPr>
      </w:pPr>
      <w:proofErr w:type="spellStart"/>
      <w:r>
        <w:t>VoF</w:t>
      </w:r>
      <w:proofErr w:type="spellEnd"/>
      <w:r>
        <w:t xml:space="preserve"> two phase flow: LBE </w:t>
      </w:r>
      <w:r w:rsidR="0060075F">
        <w:t xml:space="preserve">(buoyant) </w:t>
      </w:r>
      <w:r>
        <w:t>and cover gas</w:t>
      </w:r>
      <w:r w:rsidR="0060075F">
        <w:t xml:space="preserve"> (constant density)</w:t>
      </w:r>
      <w:r>
        <w:t>.</w:t>
      </w:r>
    </w:p>
    <w:p w:rsidR="006822FE" w:rsidRDefault="006822FE" w:rsidP="003C5002">
      <w:pPr>
        <w:pStyle w:val="BodyText"/>
        <w:numPr>
          <w:ilvl w:val="0"/>
          <w:numId w:val="27"/>
        </w:numPr>
      </w:pPr>
      <w:r>
        <w:t>Temperature dependence of the LBE physical properties [</w:t>
      </w:r>
      <w:r w:rsidR="00066E55">
        <w:fldChar w:fldCharType="begin"/>
      </w:r>
      <w:r>
        <w:instrText xml:space="preserve"> REF _Ref355337539 \r \h </w:instrText>
      </w:r>
      <w:r w:rsidR="00066E55">
        <w:fldChar w:fldCharType="separate"/>
      </w:r>
      <w:r w:rsidR="003B7F32">
        <w:t>6</w:t>
      </w:r>
      <w:r w:rsidR="00066E55">
        <w:fldChar w:fldCharType="end"/>
      </w:r>
      <w:r>
        <w:t>]</w:t>
      </w:r>
    </w:p>
    <w:p w:rsidR="00413B1C" w:rsidRDefault="00413B1C" w:rsidP="003C5002">
      <w:pPr>
        <w:pStyle w:val="BodyText"/>
        <w:numPr>
          <w:ilvl w:val="0"/>
          <w:numId w:val="27"/>
        </w:numPr>
      </w:pPr>
      <w:r>
        <w:t>Plain structural part with conjugate heat transfer</w:t>
      </w:r>
    </w:p>
    <w:p w:rsidR="00413B1C" w:rsidRDefault="00413B1C" w:rsidP="003C5002">
      <w:pPr>
        <w:pStyle w:val="BodyText"/>
        <w:numPr>
          <w:ilvl w:val="0"/>
          <w:numId w:val="27"/>
        </w:numPr>
      </w:pPr>
      <w:r>
        <w:t>Closed (connected) circuit for the LBE</w:t>
      </w:r>
    </w:p>
    <w:p w:rsidR="00413B1C" w:rsidRDefault="00413B1C" w:rsidP="003C5002">
      <w:pPr>
        <w:pStyle w:val="BodyText"/>
        <w:numPr>
          <w:ilvl w:val="0"/>
          <w:numId w:val="27"/>
        </w:numPr>
      </w:pPr>
      <w:r>
        <w:t xml:space="preserve">Core modelling on the single FA basis, with heat source profile from </w:t>
      </w:r>
      <w:proofErr w:type="spellStart"/>
      <w:r>
        <w:t>neutronic</w:t>
      </w:r>
      <w:proofErr w:type="spellEnd"/>
      <w:r>
        <w:t xml:space="preserve"> calculations</w:t>
      </w:r>
      <w:r w:rsidR="00522574">
        <w:t xml:space="preserve"> and distributed</w:t>
      </w:r>
      <w:r>
        <w:t xml:space="preserve"> hydraulic resistance coe</w:t>
      </w:r>
      <w:r w:rsidR="00522574">
        <w:t>fficients.</w:t>
      </w:r>
    </w:p>
    <w:p w:rsidR="00413B1C" w:rsidRDefault="00413B1C" w:rsidP="003C5002">
      <w:pPr>
        <w:pStyle w:val="BodyText"/>
        <w:numPr>
          <w:ilvl w:val="0"/>
          <w:numId w:val="27"/>
        </w:numPr>
      </w:pPr>
      <w:r>
        <w:t>Heat Exchanger modelling with porous setting and articulated heat removal law.</w:t>
      </w:r>
    </w:p>
    <w:p w:rsidR="00413B1C" w:rsidRDefault="00413B1C" w:rsidP="003C5002">
      <w:pPr>
        <w:pStyle w:val="BodyText"/>
        <w:numPr>
          <w:ilvl w:val="0"/>
          <w:numId w:val="27"/>
        </w:numPr>
      </w:pPr>
      <w:r>
        <w:lastRenderedPageBreak/>
        <w:t>Pump modelling with a localized body force, including a swirl component.</w:t>
      </w:r>
    </w:p>
    <w:p w:rsidR="00522574" w:rsidRDefault="00522574" w:rsidP="003C5002">
      <w:pPr>
        <w:pStyle w:val="BodyText"/>
      </w:pPr>
      <w:r>
        <w:t xml:space="preserve">A serious constraint of the </w:t>
      </w:r>
      <w:r w:rsidR="006B2856">
        <w:t xml:space="preserve">CRS4 </w:t>
      </w:r>
      <w:r>
        <w:t>model is that with</w:t>
      </w:r>
      <w:r w:rsidR="00D05B9E">
        <w:t>in</w:t>
      </w:r>
      <w:r>
        <w:t xml:space="preserve"> the </w:t>
      </w:r>
      <w:proofErr w:type="spellStart"/>
      <w:r>
        <w:t>VoF</w:t>
      </w:r>
      <w:proofErr w:type="spellEnd"/>
      <w:r>
        <w:t xml:space="preserve"> setting in </w:t>
      </w:r>
      <w:proofErr w:type="spellStart"/>
      <w:r>
        <w:t>Starccm</w:t>
      </w:r>
      <w:proofErr w:type="spellEnd"/>
      <w:r>
        <w:t xml:space="preserve">+, there is no such thing as a specific steady-state </w:t>
      </w:r>
      <w:r w:rsidR="00B80F40">
        <w:t>simulation</w:t>
      </w:r>
      <w:r>
        <w:t xml:space="preserve"> mode. Only physical transients are allowed.</w:t>
      </w:r>
      <w:r w:rsidR="00B80F40">
        <w:t xml:space="preserve"> </w:t>
      </w:r>
      <w:r w:rsidR="00460807">
        <w:t>To alleviate this constraint, a</w:t>
      </w:r>
      <w:r w:rsidR="00B80F40">
        <w:t xml:space="preserve">n alternative </w:t>
      </w:r>
      <w:r w:rsidR="00460807">
        <w:t xml:space="preserve">approach </w:t>
      </w:r>
      <w:r w:rsidR="00B80F40">
        <w:t xml:space="preserve">is to renounce temporarily to the </w:t>
      </w:r>
      <w:proofErr w:type="spellStart"/>
      <w:r w:rsidR="00B80F40">
        <w:t>VoF</w:t>
      </w:r>
      <w:proofErr w:type="spellEnd"/>
      <w:r w:rsidR="00B80F40">
        <w:t xml:space="preserve"> setting, to settle all the theoretical and technical difficulties of the model not involving large changes of free-surface level, and then re-introduce the </w:t>
      </w:r>
      <w:proofErr w:type="spellStart"/>
      <w:r w:rsidR="00B80F40">
        <w:t>VoF</w:t>
      </w:r>
      <w:proofErr w:type="spellEnd"/>
      <w:r w:rsidR="00B80F40">
        <w:t xml:space="preserve"> setting as a final step, accepting the risk that the </w:t>
      </w:r>
      <w:proofErr w:type="spellStart"/>
      <w:r w:rsidR="00B80F40">
        <w:t>VoF</w:t>
      </w:r>
      <w:proofErr w:type="spellEnd"/>
      <w:r w:rsidR="00B80F40">
        <w:t xml:space="preserve"> setting could enter in confli</w:t>
      </w:r>
      <w:r w:rsidR="00B6355D">
        <w:t xml:space="preserve">ct with other physical features. </w:t>
      </w:r>
      <w:r w:rsidR="00865F5D">
        <w:t>This is an equally valid strategy that in fact has been pursued in parallel at VKI</w:t>
      </w:r>
      <w:r w:rsidR="00B6355D">
        <w:t>, strengthening the redundancy and diversification approach of the WP</w:t>
      </w:r>
      <w:r w:rsidR="00EF71E1">
        <w:t xml:space="preserve"> </w:t>
      </w:r>
      <w:r w:rsidR="00106476">
        <w:t>[</w:t>
      </w:r>
      <w:r w:rsidR="00066E55">
        <w:fldChar w:fldCharType="begin"/>
      </w:r>
      <w:r w:rsidR="00EF71E1">
        <w:instrText xml:space="preserve"> REF _Ref478983951 \r \h </w:instrText>
      </w:r>
      <w:r w:rsidR="00066E55">
        <w:fldChar w:fldCharType="separate"/>
      </w:r>
      <w:r w:rsidR="003B7F32">
        <w:t>13</w:t>
      </w:r>
      <w:r w:rsidR="00066E55">
        <w:fldChar w:fldCharType="end"/>
      </w:r>
      <w:r w:rsidR="00106476">
        <w:t>]</w:t>
      </w:r>
      <w:r w:rsidR="00865F5D">
        <w:t>.</w:t>
      </w:r>
    </w:p>
    <w:p w:rsidR="00A5527E" w:rsidRDefault="00A5527E" w:rsidP="00037A15">
      <w:pPr>
        <w:keepNext/>
        <w:jc w:val="center"/>
      </w:pPr>
      <w:r>
        <w:rPr>
          <w:noProof/>
          <w:lang w:eastAsia="en-GB"/>
        </w:rPr>
        <w:drawing>
          <wp:inline distT="0" distB="0" distL="0" distR="0">
            <wp:extent cx="2000325" cy="2701506"/>
            <wp:effectExtent l="0" t="0" r="0" b="3810"/>
            <wp:docPr id="2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pic:cNvPicPr>
                  </pic:nvPicPr>
                  <pic:blipFill rotWithShape="1">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048" r="24336"/>
                    <a:stretch/>
                  </pic:blipFill>
                  <pic:spPr>
                    <a:xfrm>
                      <a:off x="0" y="0"/>
                      <a:ext cx="2002389" cy="2704294"/>
                    </a:xfrm>
                    <a:prstGeom prst="rect">
                      <a:avLst/>
                    </a:prstGeom>
                  </pic:spPr>
                </pic:pic>
              </a:graphicData>
            </a:graphic>
          </wp:inline>
        </w:drawing>
      </w:r>
      <w:r>
        <w:rPr>
          <w:noProof/>
          <w:lang w:eastAsia="en-GB"/>
        </w:rPr>
        <w:drawing>
          <wp:inline distT="0" distB="0" distL="0" distR="0">
            <wp:extent cx="3538426" cy="2476500"/>
            <wp:effectExtent l="0" t="0" r="5080" b="0"/>
            <wp:docPr id="1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9"/>
                    <pic:cNvPicPr>
                      <a:picLocks noChangeAspect="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40278" cy="2477796"/>
                    </a:xfrm>
                    <a:prstGeom prst="rect">
                      <a:avLst/>
                    </a:prstGeom>
                  </pic:spPr>
                </pic:pic>
              </a:graphicData>
            </a:graphic>
          </wp:inline>
        </w:drawing>
      </w:r>
    </w:p>
    <w:p w:rsidR="00A5527E" w:rsidRDefault="00A5527E" w:rsidP="00037A15">
      <w:pPr>
        <w:pStyle w:val="Caption"/>
        <w:jc w:val="center"/>
      </w:pPr>
      <w:r>
        <w:t xml:space="preserve">Figure </w:t>
      </w:r>
      <w:r w:rsidR="00066E55">
        <w:fldChar w:fldCharType="begin"/>
      </w:r>
      <w:r>
        <w:instrText xml:space="preserve"> SEQ Figure \* ARABIC </w:instrText>
      </w:r>
      <w:r w:rsidR="00066E55">
        <w:fldChar w:fldCharType="separate"/>
      </w:r>
      <w:r w:rsidR="003B7F32">
        <w:rPr>
          <w:noProof/>
        </w:rPr>
        <w:t>18</w:t>
      </w:r>
      <w:r w:rsidR="00066E55">
        <w:fldChar w:fldCharType="end"/>
      </w:r>
      <w:r>
        <w:t>: MYRRHA model. Left: solid structure of half model. Right: insight on the mesh density.</w:t>
      </w:r>
    </w:p>
    <w:p w:rsidR="00F4376F" w:rsidRDefault="00F4376F" w:rsidP="00F4376F">
      <w:pPr>
        <w:pStyle w:val="Heading2"/>
      </w:pPr>
      <w:bookmarkStart w:id="35" w:name="_Toc478990083"/>
      <w:r>
        <w:t>The MYRRHA CFD model by VKI</w:t>
      </w:r>
      <w:bookmarkEnd w:id="35"/>
    </w:p>
    <w:p w:rsidR="00F4376F" w:rsidRDefault="00B25E34" w:rsidP="003C5002">
      <w:pPr>
        <w:pStyle w:val="BodyText"/>
      </w:pPr>
      <w:r>
        <w:t>The von Karman Institute joined to the quest of simulating the thermo-hydraulics of the MYRRHA reactor in the SEARCH project.</w:t>
      </w:r>
      <w:r w:rsidR="00153FFB">
        <w:t xml:space="preserve"> </w:t>
      </w:r>
      <w:r w:rsidR="005B100E" w:rsidRPr="003C5002">
        <w:t xml:space="preserve">The flow and thermal field in the reactor is very complicated, coupled with a complex geometry and </w:t>
      </w:r>
      <w:r w:rsidR="0060075F" w:rsidRPr="003C5002">
        <w:t>without any</w:t>
      </w:r>
      <w:r w:rsidR="00153FFB">
        <w:t xml:space="preserve"> previous experience with such problems, the</w:t>
      </w:r>
      <w:r w:rsidR="0060075F">
        <w:t xml:space="preserve"> VKI</w:t>
      </w:r>
      <w:r w:rsidR="00153FFB">
        <w:t xml:space="preserve"> team decided to adopt an incremental approach in the development of the model, keeping in mind the final aim to have a flexible methodology </w:t>
      </w:r>
      <w:r w:rsidR="004B5C46">
        <w:t>capable</w:t>
      </w:r>
      <w:r w:rsidR="00153FFB">
        <w:t xml:space="preserve"> follow</w:t>
      </w:r>
      <w:r w:rsidR="004B5C46">
        <w:t>ing</w:t>
      </w:r>
      <w:r w:rsidR="00153FFB">
        <w:t xml:space="preserve"> the design modifications in the geometry as well as to construct a model that is representative in term of physics and geometry, but </w:t>
      </w:r>
      <w:r w:rsidR="0060075F">
        <w:t xml:space="preserve">that </w:t>
      </w:r>
      <w:r w:rsidR="00153FFB">
        <w:t xml:space="preserve">only contains as much complexity </w:t>
      </w:r>
      <w:r w:rsidR="0060075F">
        <w:t xml:space="preserve">as </w:t>
      </w:r>
      <w:r w:rsidR="00153FFB">
        <w:t>necessary to provide the quantities of interest in order to be able to simulate transient situations.</w:t>
      </w:r>
    </w:p>
    <w:p w:rsidR="005B100E" w:rsidRDefault="00153FFB" w:rsidP="003C5002">
      <w:pPr>
        <w:pStyle w:val="BodyText"/>
      </w:pPr>
      <w:r>
        <w:t xml:space="preserve">In this context the aim of the von Karman Institute was to develop a solver, </w:t>
      </w:r>
      <w:proofErr w:type="spellStart"/>
      <w:r>
        <w:t>myrrhaFoam</w:t>
      </w:r>
      <w:proofErr w:type="spellEnd"/>
      <w:r>
        <w:t xml:space="preserve">, using the open-source simulation platform </w:t>
      </w:r>
      <w:proofErr w:type="spellStart"/>
      <w:r>
        <w:t>OpenFOAM</w:t>
      </w:r>
      <w:proofErr w:type="spellEnd"/>
      <w:r>
        <w:t xml:space="preserve">, </w:t>
      </w:r>
      <w:r w:rsidR="00B9217F">
        <w:t xml:space="preserve">in </w:t>
      </w:r>
      <w:r>
        <w:t xml:space="preserve">such </w:t>
      </w:r>
      <w:r w:rsidR="00B9217F">
        <w:t xml:space="preserve">a </w:t>
      </w:r>
      <w:r>
        <w:t>way not to be restricted by licence cost</w:t>
      </w:r>
      <w:r w:rsidR="00B9217F">
        <w:t>s</w:t>
      </w:r>
      <w:r>
        <w:t xml:space="preserve"> and </w:t>
      </w:r>
      <w:r w:rsidR="00B9217F">
        <w:t xml:space="preserve">to </w:t>
      </w:r>
      <w:r>
        <w:t>be able to use the computational capacity of the VKI clusters.</w:t>
      </w:r>
      <w:r w:rsidR="005B100E">
        <w:t xml:space="preserve"> In this </w:t>
      </w:r>
      <w:r w:rsidR="005B100E">
        <w:lastRenderedPageBreak/>
        <w:t>frame</w:t>
      </w:r>
      <w:r w:rsidR="007B3043">
        <w:t>work</w:t>
      </w:r>
      <w:r w:rsidR="00B9217F">
        <w:t>,</w:t>
      </w:r>
      <w:r w:rsidR="007B3043">
        <w:t xml:space="preserve"> a simplified model was considered and the primary aim was to simulate the operating condition of the reactor.</w:t>
      </w:r>
    </w:p>
    <w:p w:rsidR="00FB765A" w:rsidRDefault="00FB765A" w:rsidP="00F4376F"/>
    <w:p w:rsidR="007B3043" w:rsidRPr="007B3043" w:rsidRDefault="007B3043" w:rsidP="007B3043">
      <w:pPr>
        <w:pStyle w:val="Heading3"/>
      </w:pPr>
      <w:bookmarkStart w:id="36" w:name="_Toc478990084"/>
      <w:r w:rsidRPr="007B3043">
        <w:t>Approach for pump simulation</w:t>
      </w:r>
      <w:bookmarkEnd w:id="36"/>
    </w:p>
    <w:p w:rsidR="007B3043" w:rsidRPr="003C5002" w:rsidRDefault="007B3043" w:rsidP="003C5002">
      <w:pPr>
        <w:pStyle w:val="BodyText"/>
      </w:pPr>
      <w:r w:rsidRPr="003C5002">
        <w:t xml:space="preserve">The flow field within the reactor is driven by the pumping system. There are two Heat Exchanger/Pump casing, each one consisting of two Heat Exchangers, HX, and one pump. Concerning the pumps, </w:t>
      </w:r>
      <w:proofErr w:type="spellStart"/>
      <w:r w:rsidRPr="003C5002">
        <w:t>modeling</w:t>
      </w:r>
      <w:proofErr w:type="spellEnd"/>
      <w:r w:rsidRPr="003C5002">
        <w:t xml:space="preserve"> the flow through the rotor would require meshing around the blades and </w:t>
      </w:r>
      <w:proofErr w:type="spellStart"/>
      <w:r w:rsidRPr="003C5002">
        <w:t>modeling</w:t>
      </w:r>
      <w:proofErr w:type="spellEnd"/>
      <w:r w:rsidRPr="003C5002">
        <w:t xml:space="preserve"> the dynamic </w:t>
      </w:r>
      <w:proofErr w:type="spellStart"/>
      <w:r w:rsidRPr="003C5002">
        <w:t>behavior</w:t>
      </w:r>
      <w:proofErr w:type="spellEnd"/>
      <w:r w:rsidRPr="003C5002">
        <w:t xml:space="preserve"> of these rotating parts. This level of refinement is not required since we are only interested in respecting the nominal flow conditions of the primary coolant loop. The presence of the rotor was therefore neglected in the CFD model shown in </w:t>
      </w:r>
      <w:fldSimple w:instr=" REF _Ref411412053 \h  \* MERGEFORMAT ">
        <w:r w:rsidR="003B7F32" w:rsidRPr="009D7EED">
          <w:t xml:space="preserve">Figure </w:t>
        </w:r>
        <w:r w:rsidR="003B7F32">
          <w:t>19</w:t>
        </w:r>
      </w:fldSimple>
      <w:r w:rsidRPr="003C5002">
        <w:t>.</w:t>
      </w:r>
    </w:p>
    <w:p w:rsidR="007B3043" w:rsidRDefault="007B3043" w:rsidP="007B3043">
      <w:pPr>
        <w:pStyle w:val="BodyText3"/>
        <w:rPr>
          <w:sz w:val="22"/>
          <w:szCs w:val="22"/>
        </w:rPr>
      </w:pPr>
    </w:p>
    <w:p w:rsidR="007B3043" w:rsidRDefault="007B3043" w:rsidP="00037A15">
      <w:pPr>
        <w:keepNext/>
        <w:spacing w:before="120" w:after="120"/>
        <w:jc w:val="center"/>
      </w:pPr>
      <w:r w:rsidRPr="00E9015F">
        <w:rPr>
          <w:noProof/>
          <w:lang w:eastAsia="en-GB"/>
        </w:rPr>
        <w:drawing>
          <wp:inline distT="0" distB="0" distL="0" distR="0">
            <wp:extent cx="1161636" cy="1781175"/>
            <wp:effectExtent l="19050" t="0" r="414" b="0"/>
            <wp:docPr id="1" name="Picture 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7" cstate="print"/>
                    <a:stretch>
                      <a:fillRect/>
                    </a:stretch>
                  </pic:blipFill>
                  <pic:spPr>
                    <a:xfrm>
                      <a:off x="0" y="0"/>
                      <a:ext cx="1162969" cy="1783218"/>
                    </a:xfrm>
                    <a:prstGeom prst="rect">
                      <a:avLst/>
                    </a:prstGeom>
                  </pic:spPr>
                </pic:pic>
              </a:graphicData>
            </a:graphic>
          </wp:inline>
        </w:drawing>
      </w:r>
      <w:r w:rsidR="00267E4D" w:rsidRPr="00E9015F">
        <w:rPr>
          <w:noProof/>
          <w:lang w:eastAsia="en-GB"/>
        </w:rPr>
        <w:drawing>
          <wp:inline distT="0" distB="0" distL="0" distR="0">
            <wp:extent cx="2381250" cy="1664223"/>
            <wp:effectExtent l="19050" t="0" r="0" b="0"/>
            <wp:docPr id="301060" name="Picture 16" descr="Pump_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p_pic.png"/>
                    <pic:cNvPicPr/>
                  </pic:nvPicPr>
                  <pic:blipFill>
                    <a:blip r:embed="rId58" cstate="print"/>
                    <a:srcRect l="2520" r="2520"/>
                    <a:stretch>
                      <a:fillRect/>
                    </a:stretch>
                  </pic:blipFill>
                  <pic:spPr>
                    <a:xfrm>
                      <a:off x="0" y="0"/>
                      <a:ext cx="2381250" cy="1664223"/>
                    </a:xfrm>
                    <a:prstGeom prst="rect">
                      <a:avLst/>
                    </a:prstGeom>
                  </pic:spPr>
                </pic:pic>
              </a:graphicData>
            </a:graphic>
          </wp:inline>
        </w:drawing>
      </w:r>
    </w:p>
    <w:p w:rsidR="007B3043" w:rsidRPr="009D7EED" w:rsidRDefault="007B3043" w:rsidP="00037A15">
      <w:pPr>
        <w:pStyle w:val="Caption"/>
        <w:spacing w:after="120" w:line="240" w:lineRule="auto"/>
        <w:jc w:val="center"/>
      </w:pPr>
      <w:bookmarkStart w:id="37" w:name="_Ref411412053"/>
      <w:r w:rsidRPr="009D7EED">
        <w:t xml:space="preserve">Figure </w:t>
      </w:r>
      <w:r w:rsidR="00066E55">
        <w:fldChar w:fldCharType="begin"/>
      </w:r>
      <w:r w:rsidR="0077354E">
        <w:instrText xml:space="preserve"> SEQ Figure \* ARABIC </w:instrText>
      </w:r>
      <w:r w:rsidR="00066E55">
        <w:fldChar w:fldCharType="separate"/>
      </w:r>
      <w:r w:rsidR="003B7F32">
        <w:rPr>
          <w:noProof/>
        </w:rPr>
        <w:t>19</w:t>
      </w:r>
      <w:r w:rsidR="00066E55">
        <w:rPr>
          <w:noProof/>
        </w:rPr>
        <w:fldChar w:fldCharType="end"/>
      </w:r>
      <w:bookmarkEnd w:id="37"/>
      <w:r w:rsidRPr="009D7EED">
        <w:t>: The numerical model of the MYRRHA reactor and the pumps: solid pump component, rotor area and pump inlet/outlet surfaces and bottom view</w:t>
      </w:r>
    </w:p>
    <w:p w:rsidR="007B3043" w:rsidRDefault="007B3043" w:rsidP="007B3043">
      <w:pPr>
        <w:pStyle w:val="BodyText3"/>
        <w:rPr>
          <w:sz w:val="22"/>
          <w:szCs w:val="22"/>
        </w:rPr>
      </w:pPr>
    </w:p>
    <w:p w:rsidR="007B3043" w:rsidRDefault="007B3043" w:rsidP="003C5002">
      <w:pPr>
        <w:pStyle w:val="BodyText"/>
      </w:pPr>
      <w:r w:rsidRPr="003C5002">
        <w:t xml:space="preserve">There are two possible ways of representing the pumps: by having </w:t>
      </w:r>
      <w:r w:rsidR="00B9217F" w:rsidRPr="003C5002">
        <w:t xml:space="preserve">either </w:t>
      </w:r>
      <w:r w:rsidRPr="003C5002">
        <w:t xml:space="preserve">an open or a closed system. In the first case, the rotor area (annular volume between red and green ring) is removed from the CFD domain and the nominal mass flow rate is imposed at the pumps outlet (green surface), by specifying velocity conditions. Reference pressure is then given at the pumps inlet (red surface). However, in case of transient simulations such as pump failure for instance, a closed-loop is needed.  </w:t>
      </w:r>
      <w:r w:rsidR="00B9217F" w:rsidRPr="003C5002">
        <w:t xml:space="preserve">The flow </w:t>
      </w:r>
      <w:r w:rsidRPr="003C5002">
        <w:t>motion is then activated by a momentum source applied to the rotor area, and fixed to balance the d</w:t>
      </w:r>
      <w:r w:rsidR="00DF134D" w:rsidRPr="003C5002">
        <w:t>esired mass flow rate.</w:t>
      </w:r>
    </w:p>
    <w:p w:rsidR="00037A15" w:rsidRDefault="00037A15" w:rsidP="003C5002">
      <w:pPr>
        <w:pStyle w:val="BodyText"/>
      </w:pPr>
    </w:p>
    <w:p w:rsidR="00037A15" w:rsidRDefault="00037A15" w:rsidP="003C5002">
      <w:pPr>
        <w:pStyle w:val="BodyText"/>
      </w:pPr>
    </w:p>
    <w:p w:rsidR="00037A15" w:rsidRDefault="00037A15" w:rsidP="003C5002">
      <w:pPr>
        <w:pStyle w:val="BodyText"/>
      </w:pPr>
    </w:p>
    <w:p w:rsidR="00037A15" w:rsidRDefault="00037A15" w:rsidP="003C5002">
      <w:pPr>
        <w:pStyle w:val="BodyText"/>
      </w:pPr>
    </w:p>
    <w:p w:rsidR="00037A15" w:rsidRDefault="00037A15" w:rsidP="003C5002">
      <w:pPr>
        <w:pStyle w:val="BodyText"/>
      </w:pPr>
    </w:p>
    <w:p w:rsidR="00037A15" w:rsidRPr="003C5002" w:rsidRDefault="00037A15" w:rsidP="003C5002">
      <w:pPr>
        <w:pStyle w:val="BodyText"/>
      </w:pPr>
    </w:p>
    <w:p w:rsidR="007B3043" w:rsidRPr="00267E4D" w:rsidRDefault="007B3043" w:rsidP="00267E4D">
      <w:pPr>
        <w:pStyle w:val="Heading3"/>
      </w:pPr>
      <w:bookmarkStart w:id="38" w:name="_Toc478990085"/>
      <w:r w:rsidRPr="00267E4D">
        <w:t>Porous media approach in the core</w:t>
      </w:r>
      <w:bookmarkEnd w:id="38"/>
    </w:p>
    <w:p w:rsidR="007B3043" w:rsidRDefault="007B3043" w:rsidP="007B3043">
      <w:pPr>
        <w:pStyle w:val="BodyText3"/>
        <w:rPr>
          <w:sz w:val="22"/>
          <w:szCs w:val="22"/>
        </w:rPr>
      </w:pPr>
    </w:p>
    <w:p w:rsidR="007B3043" w:rsidRDefault="007B3043" w:rsidP="00037A15">
      <w:pPr>
        <w:pStyle w:val="BodyText3"/>
        <w:jc w:val="center"/>
        <w:rPr>
          <w:b/>
          <w:noProof/>
          <w:lang w:eastAsia="fr-BE"/>
        </w:rPr>
      </w:pPr>
      <w:r w:rsidRPr="00810BBE">
        <w:rPr>
          <w:b/>
          <w:noProof/>
          <w:lang w:eastAsia="en-GB"/>
        </w:rPr>
        <w:drawing>
          <wp:inline distT="0" distB="0" distL="0" distR="0">
            <wp:extent cx="2896650" cy="1400175"/>
            <wp:effectExtent l="19050" t="0" r="0" b="0"/>
            <wp:docPr id="30" name="Picture 6" descr="central_P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_PMs.png"/>
                    <pic:cNvPicPr/>
                  </pic:nvPicPr>
                  <pic:blipFill>
                    <a:blip r:embed="rId59" cstate="print"/>
                    <a:stretch>
                      <a:fillRect/>
                    </a:stretch>
                  </pic:blipFill>
                  <pic:spPr>
                    <a:xfrm>
                      <a:off x="0" y="0"/>
                      <a:ext cx="2898960" cy="1401292"/>
                    </a:xfrm>
                    <a:prstGeom prst="rect">
                      <a:avLst/>
                    </a:prstGeom>
                  </pic:spPr>
                </pic:pic>
              </a:graphicData>
            </a:graphic>
          </wp:inline>
        </w:drawing>
      </w:r>
      <w:r w:rsidRPr="00810BBE">
        <w:rPr>
          <w:b/>
          <w:noProof/>
          <w:lang w:eastAsia="en-GB"/>
        </w:rPr>
        <w:drawing>
          <wp:inline distT="0" distB="0" distL="0" distR="0">
            <wp:extent cx="2082664" cy="1252537"/>
            <wp:effectExtent l="19050" t="0" r="0" b="0"/>
            <wp:docPr id="301056" name="Image 3" descr="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jpg"/>
                    <pic:cNvPicPr/>
                  </pic:nvPicPr>
                  <pic:blipFill>
                    <a:blip r:embed="rId60" cstate="print"/>
                    <a:stretch>
                      <a:fillRect/>
                    </a:stretch>
                  </pic:blipFill>
                  <pic:spPr>
                    <a:xfrm>
                      <a:off x="0" y="0"/>
                      <a:ext cx="2090107" cy="1257014"/>
                    </a:xfrm>
                    <a:prstGeom prst="rect">
                      <a:avLst/>
                    </a:prstGeom>
                  </pic:spPr>
                </pic:pic>
              </a:graphicData>
            </a:graphic>
          </wp:inline>
        </w:drawing>
      </w:r>
    </w:p>
    <w:p w:rsidR="007B3043" w:rsidRPr="009D7EED" w:rsidRDefault="007B3043" w:rsidP="00037A15">
      <w:pPr>
        <w:pStyle w:val="Caption"/>
        <w:spacing w:after="120" w:line="240" w:lineRule="auto"/>
        <w:jc w:val="center"/>
      </w:pPr>
      <w:bookmarkStart w:id="39" w:name="_Ref411412816"/>
      <w:r w:rsidRPr="009D7EED">
        <w:t xml:space="preserve">Figure </w:t>
      </w:r>
      <w:r w:rsidR="00066E55">
        <w:fldChar w:fldCharType="begin"/>
      </w:r>
      <w:r w:rsidR="0077354E">
        <w:instrText xml:space="preserve"> SEQ Figure \* ARABIC </w:instrText>
      </w:r>
      <w:r w:rsidR="00066E55">
        <w:fldChar w:fldCharType="separate"/>
      </w:r>
      <w:r w:rsidR="003B7F32">
        <w:rPr>
          <w:noProof/>
        </w:rPr>
        <w:t>20</w:t>
      </w:r>
      <w:r w:rsidR="00066E55">
        <w:rPr>
          <w:noProof/>
        </w:rPr>
        <w:fldChar w:fldCharType="end"/>
      </w:r>
      <w:bookmarkEnd w:id="39"/>
      <w:r w:rsidRPr="009D7EED">
        <w:t>: The a) General porous media in the central part of the reactor b) Core layout decomposition c) radial power distribution in the MYRRHA reactor core</w:t>
      </w:r>
    </w:p>
    <w:p w:rsidR="007B3043" w:rsidRPr="003C5002" w:rsidRDefault="007B3043" w:rsidP="003C5002">
      <w:pPr>
        <w:pStyle w:val="BodyText"/>
      </w:pPr>
      <w:r w:rsidRPr="003C5002">
        <w:t xml:space="preserve">The core has been </w:t>
      </w:r>
      <w:proofErr w:type="spellStart"/>
      <w:r w:rsidRPr="003C5002">
        <w:t>modeled</w:t>
      </w:r>
      <w:proofErr w:type="spellEnd"/>
      <w:r w:rsidRPr="003C5002">
        <w:t xml:space="preserve"> following the homogenization approach with porous </w:t>
      </w:r>
      <w:proofErr w:type="spellStart"/>
      <w:r w:rsidRPr="003C5002">
        <w:t>modeling</w:t>
      </w:r>
      <w:proofErr w:type="spellEnd"/>
      <w:r w:rsidRPr="003C5002">
        <w:t xml:space="preserve">. The different zones are separated according to the structures layout, which is governing both porosity and pressure losses. Consequently, the general core layout, shown in </w:t>
      </w:r>
      <w:fldSimple w:instr=" REF _Ref411412816 \h  \* MERGEFORMAT ">
        <w:r w:rsidR="003B7F32" w:rsidRPr="009D7EED">
          <w:t xml:space="preserve">Figure </w:t>
        </w:r>
        <w:r w:rsidR="003B7F32">
          <w:t>20</w:t>
        </w:r>
      </w:fldSimple>
      <w:r w:rsidRPr="003C5002">
        <w:t>, is composed in the c</w:t>
      </w:r>
      <w:r w:rsidR="00DF134D" w:rsidRPr="003C5002">
        <w:t>entral core of 5 porous rings</w:t>
      </w:r>
      <w:r w:rsidRPr="003C5002">
        <w:t xml:space="preserve">, representing from the centre: </w:t>
      </w:r>
      <w:r w:rsidR="00B9217F" w:rsidRPr="003C5002">
        <w:t>(</w:t>
      </w:r>
      <w:proofErr w:type="spellStart"/>
      <w:r w:rsidR="00B9217F" w:rsidRPr="003C5002">
        <w:t>i</w:t>
      </w:r>
      <w:proofErr w:type="spellEnd"/>
      <w:r w:rsidR="00B9217F" w:rsidRPr="003C5002">
        <w:t xml:space="preserve">) </w:t>
      </w:r>
      <w:r w:rsidRPr="003C5002">
        <w:t xml:space="preserve">the inner Fuel Assembly, FA, </w:t>
      </w:r>
      <w:r w:rsidR="00B9217F" w:rsidRPr="003C5002">
        <w:t xml:space="preserve">(ii) </w:t>
      </w:r>
      <w:r w:rsidRPr="003C5002">
        <w:t>the combination of In-Pile Section, Scram Rods, Control Rods (IPS+SR+CR),</w:t>
      </w:r>
      <w:r w:rsidR="00B9217F" w:rsidRPr="003C5002">
        <w:t xml:space="preserve"> (iii)</w:t>
      </w:r>
      <w:r w:rsidRPr="003C5002">
        <w:t xml:space="preserve"> the outer Fuel Assembly,</w:t>
      </w:r>
      <w:r w:rsidR="00B9217F" w:rsidRPr="003C5002">
        <w:t xml:space="preserve"> </w:t>
      </w:r>
      <w:proofErr w:type="gramStart"/>
      <w:r w:rsidR="00B9217F" w:rsidRPr="003C5002">
        <w:t>(iv)</w:t>
      </w:r>
      <w:r w:rsidRPr="003C5002">
        <w:t xml:space="preserve"> the</w:t>
      </w:r>
      <w:proofErr w:type="gramEnd"/>
      <w:r w:rsidRPr="003C5002">
        <w:t xml:space="preserve"> inner dummies and</w:t>
      </w:r>
      <w:r w:rsidR="00B9217F" w:rsidRPr="003C5002">
        <w:t xml:space="preserve"> (v)</w:t>
      </w:r>
      <w:r w:rsidRPr="003C5002">
        <w:t xml:space="preserve"> the outer dummies. The last ring corresponding to the core jacket is a solid component and was therefore subtracted from the flow domain. The area directly below the core, composed of a grid with cones that hold the Fuel Assemblies in place, makes the connection with the core restraint system, CRS. As this intermediate ring is characterized by very little flow blockage from either axial or radial directions, it is approximated as a non-porous zone.</w:t>
      </w:r>
    </w:p>
    <w:p w:rsidR="007B3043" w:rsidRPr="003C5002" w:rsidRDefault="007B3043" w:rsidP="003C5002">
      <w:pPr>
        <w:pStyle w:val="BodyText"/>
      </w:pPr>
      <w:r w:rsidRPr="003C5002">
        <w:t>However, it should be noted that in reality the IPS, SR and CR are arranged separately between the Fuel Assemblies, thus approximating this area to a single ring is a non-negligible assumption in terms of momentum and heat transfer. Each of these porous zones is characterized by a certain porosity value γ, defined as the ratio between the volume of fluid and the total volume of the media. From a numerical point of view, these pressure losses due to friction are added to the standard equation as a momentum sink expressed as follows</w:t>
      </w:r>
      <w:r w:rsidR="003C5002">
        <w:t xml:space="preserve"> (Darcy-</w:t>
      </w:r>
      <w:proofErr w:type="spellStart"/>
      <w:r w:rsidR="003C5002">
        <w:t>Forchheimer</w:t>
      </w:r>
      <w:proofErr w:type="spellEnd"/>
      <w:r w:rsidR="003C5002">
        <w:t xml:space="preserve"> law [</w:t>
      </w:r>
      <w:r w:rsidR="00066E55">
        <w:fldChar w:fldCharType="begin"/>
      </w:r>
      <w:r w:rsidR="003C5002">
        <w:instrText xml:space="preserve"> REF _Ref478718094 \r \h </w:instrText>
      </w:r>
      <w:r w:rsidR="00066E55">
        <w:fldChar w:fldCharType="separate"/>
      </w:r>
      <w:r w:rsidR="003B7F32">
        <w:t>14</w:t>
      </w:r>
      <w:r w:rsidR="00066E55">
        <w:fldChar w:fldCharType="end"/>
      </w:r>
      <w:r w:rsidRPr="003C5002">
        <w:t xml:space="preserve">]): </w:t>
      </w:r>
    </w:p>
    <w:tbl>
      <w:tblPr>
        <w:tblW w:w="0" w:type="auto"/>
        <w:tblLook w:val="04A0"/>
      </w:tblPr>
      <w:tblGrid>
        <w:gridCol w:w="8330"/>
        <w:gridCol w:w="882"/>
      </w:tblGrid>
      <w:tr w:rsidR="007B3043" w:rsidRPr="009D3BF4" w:rsidTr="00264FB9">
        <w:tc>
          <w:tcPr>
            <w:tcW w:w="8330" w:type="dxa"/>
            <w:vAlign w:val="center"/>
          </w:tcPr>
          <w:p w:rsidR="007B3043" w:rsidRPr="009D3BF4" w:rsidRDefault="00066E55" w:rsidP="00264FB9">
            <w:pPr>
              <w:spacing w:before="120" w:after="120"/>
              <w:jc w:val="both"/>
              <w:rPr>
                <w:rFonts w:ascii="CG Omega" w:hAnsi="CG Omega"/>
                <w:iCs/>
                <w:lang w:eastAsia="en-GB"/>
              </w:rPr>
            </w:pPr>
            <m:oMathPara>
              <m:oMath>
                <m:acc>
                  <m:accPr>
                    <m:chr m:val="⃗"/>
                    <m:ctrlPr>
                      <w:rPr>
                        <w:rFonts w:ascii="Cambria Math" w:hAnsi="Cambria Math"/>
                        <w:iCs/>
                        <w:lang w:eastAsia="en-GB"/>
                      </w:rPr>
                    </m:ctrlPr>
                  </m:accPr>
                  <m:e>
                    <m:sSub>
                      <m:sSubPr>
                        <m:ctrlPr>
                          <w:rPr>
                            <w:rFonts w:ascii="Cambria Math" w:hAnsi="Cambria Math"/>
                            <w:iCs/>
                            <w:lang w:eastAsia="en-GB"/>
                          </w:rPr>
                        </m:ctrlPr>
                      </m:sSubPr>
                      <m:e>
                        <m:r>
                          <m:rPr>
                            <m:sty m:val="p"/>
                          </m:rPr>
                          <w:rPr>
                            <w:rFonts w:ascii="Cambria Math" w:hAnsi="Cambria Math"/>
                            <w:lang w:eastAsia="en-GB"/>
                          </w:rPr>
                          <m:t>F</m:t>
                        </m:r>
                      </m:e>
                      <m:sub>
                        <m:r>
                          <m:rPr>
                            <m:sty m:val="p"/>
                          </m:rPr>
                          <w:rPr>
                            <w:rFonts w:ascii="Cambria Math" w:hAnsi="Cambria Math"/>
                            <w:lang w:eastAsia="en-GB"/>
                          </w:rPr>
                          <m:t>i</m:t>
                        </m:r>
                      </m:sub>
                    </m:sSub>
                  </m:e>
                </m:acc>
                <m:r>
                  <m:rPr>
                    <m:sty m:val="p"/>
                  </m:rPr>
                  <w:rPr>
                    <w:rFonts w:ascii="Cambria Math" w:hAnsi="Cambria Math"/>
                    <w:lang w:eastAsia="en-GB"/>
                  </w:rPr>
                  <m:t>=-</m:t>
                </m:r>
                <m:f>
                  <m:fPr>
                    <m:ctrlPr>
                      <w:rPr>
                        <w:rFonts w:ascii="Cambria Math" w:hAnsi="Cambria Math"/>
                        <w:iCs/>
                        <w:lang w:eastAsia="en-GB"/>
                      </w:rPr>
                    </m:ctrlPr>
                  </m:fPr>
                  <m:num>
                    <m:r>
                      <m:rPr>
                        <m:sty m:val="p"/>
                      </m:rPr>
                      <w:rPr>
                        <w:rFonts w:ascii="Cambria Math" w:hAnsi="Cambria Math"/>
                        <w:lang w:eastAsia="en-GB"/>
                      </w:rPr>
                      <m:t>µ</m:t>
                    </m:r>
                  </m:num>
                  <m:den>
                    <m:r>
                      <m:rPr>
                        <m:sty m:val="p"/>
                      </m:rPr>
                      <w:rPr>
                        <w:rFonts w:ascii="Cambria Math" w:hAnsi="Cambria Math"/>
                        <w:lang w:eastAsia="en-GB"/>
                      </w:rPr>
                      <m:t>α</m:t>
                    </m:r>
                  </m:den>
                </m:f>
                <m:acc>
                  <m:accPr>
                    <m:chr m:val="⃗"/>
                    <m:ctrlPr>
                      <w:rPr>
                        <w:rFonts w:ascii="Cambria Math" w:hAnsi="Cambria Math"/>
                        <w:iCs/>
                        <w:lang w:eastAsia="en-GB"/>
                      </w:rPr>
                    </m:ctrlPr>
                  </m:accPr>
                  <m:e>
                    <m:sSub>
                      <m:sSubPr>
                        <m:ctrlPr>
                          <w:rPr>
                            <w:rFonts w:ascii="Cambria Math" w:hAnsi="Cambria Math"/>
                            <w:iCs/>
                            <w:lang w:eastAsia="en-GB"/>
                          </w:rPr>
                        </m:ctrlPr>
                      </m:sSubPr>
                      <m:e>
                        <m:r>
                          <m:rPr>
                            <m:sty m:val="p"/>
                          </m:rPr>
                          <w:rPr>
                            <w:rFonts w:ascii="Cambria Math" w:hAnsi="Cambria Math"/>
                            <w:lang w:eastAsia="en-GB"/>
                          </w:rPr>
                          <m:t>u</m:t>
                        </m:r>
                      </m:e>
                      <m:sub>
                        <m:r>
                          <m:rPr>
                            <m:sty m:val="p"/>
                          </m:rPr>
                          <w:rPr>
                            <w:rFonts w:ascii="Cambria Math" w:hAnsi="Cambria Math"/>
                            <w:lang w:eastAsia="en-GB"/>
                          </w:rPr>
                          <m:t>i</m:t>
                        </m:r>
                      </m:sub>
                    </m:sSub>
                  </m:e>
                </m:acc>
                <m:r>
                  <m:rPr>
                    <m:sty m:val="p"/>
                  </m:rPr>
                  <w:rPr>
                    <w:rFonts w:ascii="Cambria Math" w:hAnsi="Cambria Math"/>
                    <w:lang w:eastAsia="en-GB"/>
                  </w:rPr>
                  <m:t>-</m:t>
                </m:r>
                <m:f>
                  <m:fPr>
                    <m:ctrlPr>
                      <w:rPr>
                        <w:rFonts w:ascii="Cambria Math" w:hAnsi="Cambria Math"/>
                        <w:iCs/>
                        <w:lang w:eastAsia="en-GB"/>
                      </w:rPr>
                    </m:ctrlPr>
                  </m:fPr>
                  <m:num>
                    <m:r>
                      <m:rPr>
                        <m:sty m:val="p"/>
                      </m:rPr>
                      <w:rPr>
                        <w:rFonts w:ascii="Cambria Math" w:hAnsi="Cambria Math"/>
                        <w:lang w:eastAsia="en-GB"/>
                      </w:rPr>
                      <m:t>ρ</m:t>
                    </m:r>
                  </m:num>
                  <m:den>
                    <m:r>
                      <m:rPr>
                        <m:sty m:val="p"/>
                      </m:rPr>
                      <w:rPr>
                        <w:rFonts w:ascii="Cambria Math" w:hAnsi="Cambria Math"/>
                        <w:lang w:eastAsia="en-GB"/>
                      </w:rPr>
                      <m:t>2</m:t>
                    </m:r>
                  </m:den>
                </m:f>
                <m:sSub>
                  <m:sSubPr>
                    <m:ctrlPr>
                      <w:rPr>
                        <w:rFonts w:ascii="Cambria Math" w:hAnsi="Cambria Math"/>
                        <w:iCs/>
                        <w:lang w:eastAsia="en-GB"/>
                      </w:rPr>
                    </m:ctrlPr>
                  </m:sSubPr>
                  <m:e>
                    <m:r>
                      <m:rPr>
                        <m:sty m:val="p"/>
                      </m:rPr>
                      <w:rPr>
                        <w:rFonts w:ascii="Cambria Math" w:hAnsi="Cambria Math"/>
                        <w:lang w:eastAsia="en-GB"/>
                      </w:rPr>
                      <m:t>C</m:t>
                    </m:r>
                  </m:e>
                  <m:sub>
                    <m:r>
                      <m:rPr>
                        <m:sty m:val="p"/>
                      </m:rPr>
                      <w:rPr>
                        <w:rFonts w:ascii="Cambria Math" w:hAnsi="Cambria Math"/>
                        <w:lang w:eastAsia="en-GB"/>
                      </w:rPr>
                      <m:t>2</m:t>
                    </m:r>
                  </m:sub>
                </m:sSub>
                <m:d>
                  <m:dPr>
                    <m:begChr m:val="|"/>
                    <m:endChr m:val="|"/>
                    <m:ctrlPr>
                      <w:rPr>
                        <w:rFonts w:ascii="Cambria Math" w:hAnsi="Cambria Math"/>
                        <w:iCs/>
                        <w:lang w:eastAsia="en-GB"/>
                      </w:rPr>
                    </m:ctrlPr>
                  </m:dPr>
                  <m:e>
                    <m:acc>
                      <m:accPr>
                        <m:chr m:val="⃗"/>
                        <m:ctrlPr>
                          <w:rPr>
                            <w:rFonts w:ascii="Cambria Math" w:hAnsi="Cambria Math"/>
                            <w:iCs/>
                            <w:lang w:eastAsia="en-GB"/>
                          </w:rPr>
                        </m:ctrlPr>
                      </m:accPr>
                      <m:e>
                        <m:r>
                          <m:rPr>
                            <m:sty m:val="p"/>
                          </m:rPr>
                          <w:rPr>
                            <w:rFonts w:ascii="Cambria Math" w:hAnsi="Cambria Math"/>
                            <w:lang w:eastAsia="en-GB"/>
                          </w:rPr>
                          <m:t>u</m:t>
                        </m:r>
                      </m:e>
                    </m:acc>
                  </m:e>
                </m:d>
                <m:acc>
                  <m:accPr>
                    <m:chr m:val="⃗"/>
                    <m:ctrlPr>
                      <w:rPr>
                        <w:rFonts w:ascii="Cambria Math" w:hAnsi="Cambria Math"/>
                        <w:iCs/>
                        <w:lang w:eastAsia="en-GB"/>
                      </w:rPr>
                    </m:ctrlPr>
                  </m:accPr>
                  <m:e>
                    <m:sSub>
                      <m:sSubPr>
                        <m:ctrlPr>
                          <w:rPr>
                            <w:rFonts w:ascii="Cambria Math" w:hAnsi="Cambria Math"/>
                            <w:iCs/>
                            <w:lang w:eastAsia="en-GB"/>
                          </w:rPr>
                        </m:ctrlPr>
                      </m:sSubPr>
                      <m:e>
                        <m:r>
                          <m:rPr>
                            <m:sty m:val="p"/>
                          </m:rPr>
                          <w:rPr>
                            <w:rFonts w:ascii="Cambria Math" w:hAnsi="Cambria Math"/>
                            <w:lang w:eastAsia="en-GB"/>
                          </w:rPr>
                          <m:t>u</m:t>
                        </m:r>
                      </m:e>
                      <m:sub>
                        <m:r>
                          <m:rPr>
                            <m:sty m:val="p"/>
                          </m:rPr>
                          <w:rPr>
                            <w:rFonts w:ascii="Cambria Math" w:hAnsi="Cambria Math"/>
                            <w:lang w:eastAsia="en-GB"/>
                          </w:rPr>
                          <m:t>i</m:t>
                        </m:r>
                      </m:sub>
                    </m:sSub>
                  </m:e>
                </m:acc>
                <m:r>
                  <m:rPr>
                    <m:sty m:val="p"/>
                  </m:rPr>
                  <w:rPr>
                    <w:rFonts w:ascii="Cambria Math" w:hAnsi="Cambria Math"/>
                    <w:lang w:eastAsia="en-GB"/>
                  </w:rPr>
                  <m:t>=∇</m:t>
                </m:r>
                <m:sSub>
                  <m:sSubPr>
                    <m:ctrlPr>
                      <w:rPr>
                        <w:rFonts w:ascii="Cambria Math" w:hAnsi="Cambria Math"/>
                        <w:iCs/>
                        <w:lang w:eastAsia="en-GB"/>
                      </w:rPr>
                    </m:ctrlPr>
                  </m:sSubPr>
                  <m:e>
                    <m:r>
                      <m:rPr>
                        <m:sty m:val="p"/>
                      </m:rPr>
                      <w:rPr>
                        <w:rFonts w:ascii="Cambria Math" w:hAnsi="Cambria Math"/>
                        <w:lang w:eastAsia="en-GB"/>
                      </w:rPr>
                      <m:t>p</m:t>
                    </m:r>
                  </m:e>
                  <m:sub>
                    <m:r>
                      <m:rPr>
                        <m:sty m:val="p"/>
                      </m:rPr>
                      <w:rPr>
                        <w:rFonts w:ascii="Cambria Math" w:hAnsi="Cambria Math"/>
                        <w:lang w:eastAsia="en-GB"/>
                      </w:rPr>
                      <m:t>porous</m:t>
                    </m:r>
                  </m:sub>
                </m:sSub>
              </m:oMath>
            </m:oMathPara>
          </w:p>
        </w:tc>
        <w:tc>
          <w:tcPr>
            <w:tcW w:w="882" w:type="dxa"/>
            <w:vAlign w:val="center"/>
          </w:tcPr>
          <w:p w:rsidR="007B3043" w:rsidRPr="009D3BF4" w:rsidRDefault="007B3043" w:rsidP="00264FB9">
            <w:pPr>
              <w:pStyle w:val="Caption"/>
              <w:jc w:val="both"/>
              <w:rPr>
                <w:rFonts w:ascii="CG Omega" w:hAnsi="CG Omega"/>
                <w:b/>
                <w:bCs/>
                <w:iCs/>
                <w:szCs w:val="22"/>
                <w:lang w:eastAsia="en-GB"/>
              </w:rPr>
            </w:pPr>
            <w:r w:rsidRPr="009D3BF4">
              <w:rPr>
                <w:rFonts w:ascii="CG Omega" w:hAnsi="CG Omega"/>
                <w:iCs/>
                <w:szCs w:val="22"/>
                <w:lang w:eastAsia="en-GB"/>
              </w:rPr>
              <w:t>(</w:t>
            </w:r>
            <w:r w:rsidR="00066E55" w:rsidRPr="009D3BF4">
              <w:rPr>
                <w:rFonts w:ascii="CG Omega" w:hAnsi="CG Omega"/>
                <w:b/>
                <w:bCs/>
                <w:iCs/>
                <w:szCs w:val="22"/>
                <w:lang w:eastAsia="en-GB"/>
              </w:rPr>
              <w:fldChar w:fldCharType="begin"/>
            </w:r>
            <w:r w:rsidRPr="009D3BF4">
              <w:rPr>
                <w:rFonts w:ascii="CG Omega" w:hAnsi="CG Omega"/>
                <w:iCs/>
                <w:szCs w:val="22"/>
                <w:lang w:eastAsia="en-GB"/>
              </w:rPr>
              <w:instrText xml:space="preserve"> SEQ 1. \* ARABIC </w:instrText>
            </w:r>
            <w:r w:rsidR="00066E55" w:rsidRPr="009D3BF4">
              <w:rPr>
                <w:rFonts w:ascii="CG Omega" w:hAnsi="CG Omega"/>
                <w:b/>
                <w:bCs/>
                <w:iCs/>
                <w:szCs w:val="22"/>
                <w:lang w:eastAsia="en-GB"/>
              </w:rPr>
              <w:fldChar w:fldCharType="separate"/>
            </w:r>
            <w:r w:rsidR="003B7F32">
              <w:rPr>
                <w:rFonts w:ascii="CG Omega" w:hAnsi="CG Omega"/>
                <w:iCs/>
                <w:noProof/>
                <w:szCs w:val="22"/>
                <w:lang w:eastAsia="en-GB"/>
              </w:rPr>
              <w:t>1</w:t>
            </w:r>
            <w:r w:rsidR="00066E55" w:rsidRPr="009D3BF4">
              <w:rPr>
                <w:rFonts w:ascii="CG Omega" w:hAnsi="CG Omega"/>
                <w:b/>
                <w:bCs/>
                <w:iCs/>
                <w:szCs w:val="22"/>
                <w:lang w:eastAsia="en-GB"/>
              </w:rPr>
              <w:fldChar w:fldCharType="end"/>
            </w:r>
            <w:r w:rsidRPr="009D3BF4">
              <w:rPr>
                <w:rFonts w:ascii="CG Omega" w:hAnsi="CG Omega"/>
                <w:iCs/>
                <w:szCs w:val="22"/>
                <w:lang w:eastAsia="en-GB"/>
              </w:rPr>
              <w:t>)</w:t>
            </w:r>
          </w:p>
        </w:tc>
      </w:tr>
    </w:tbl>
    <w:p w:rsidR="00AC3352" w:rsidRPr="003C5002" w:rsidRDefault="007B3043" w:rsidP="003C5002">
      <w:pPr>
        <w:pStyle w:val="BodyText"/>
      </w:pPr>
      <w:r w:rsidRPr="003C5002">
        <w:t>As the parallel channels connect the lower plenum with the upper plenum, the mass flow rate distribution is a result of the different porosities. The pressure drop across the entire core area, from the lower plenum up to the free-surface (including the radial losses through the barrel holes) is estimated to about 2 bars</w:t>
      </w:r>
      <w:r w:rsidR="00DF134D" w:rsidRPr="003C5002">
        <w:t xml:space="preserve"> based on fuel assembly correlations</w:t>
      </w:r>
      <w:r w:rsidRPr="003C5002">
        <w:t xml:space="preserve">. Due to hexagonal wrapper tubes of the fuel assemblies in reality the flow is blocked in the radial direction in the </w:t>
      </w:r>
      <w:r w:rsidRPr="003C5002">
        <w:lastRenderedPageBreak/>
        <w:t xml:space="preserve">porous media. This condition is imposed numerically by assigning a very high value </w:t>
      </w:r>
      <w:r w:rsidR="001130D3" w:rsidRPr="003C5002">
        <w:t xml:space="preserve">of the radial resistance coefficients </w:t>
      </w:r>
      <w:r w:rsidRPr="003C5002">
        <w:t xml:space="preserve">in the core region. The cross sections of the rings are determined with respect to the fractions of core positions taken. </w:t>
      </w:r>
    </w:p>
    <w:p w:rsidR="007B3043" w:rsidRPr="003C5002" w:rsidRDefault="007B3043" w:rsidP="003C5002">
      <w:pPr>
        <w:pStyle w:val="BodyText"/>
      </w:pPr>
      <w:r w:rsidRPr="003C5002">
        <w:t xml:space="preserve">The pressure drop in normal operation is determined by the pressure drop in the Fuel Assembly. These losses are estimated by using the </w:t>
      </w:r>
      <w:proofErr w:type="spellStart"/>
      <w:r w:rsidRPr="003C5002">
        <w:t>Rehme</w:t>
      </w:r>
      <w:proofErr w:type="spellEnd"/>
      <w:r w:rsidRPr="003C5002">
        <w:t xml:space="preserve"> correlation for a wire wrapped fuel bundle as a function of the local Reynolds number (noted </w:t>
      </w:r>
      <w:proofErr w:type="gramStart"/>
      <w:r w:rsidRPr="003C5002">
        <w:t xml:space="preserve">as </w:t>
      </w:r>
      <m:oMath>
        <w:proofErr w:type="gramEnd"/>
        <m:r>
          <m:rPr>
            <m:sty m:val="p"/>
          </m:rPr>
          <w:rPr>
            <w:rFonts w:ascii="Cambria Math" w:hAnsi="Cambria Math"/>
          </w:rPr>
          <m:t>f</m:t>
        </m:r>
        <m:d>
          <m:dPr>
            <m:ctrlPr>
              <w:rPr>
                <w:rFonts w:ascii="Cambria Math" w:hAnsi="Cambria Math"/>
              </w:rPr>
            </m:ctrlPr>
          </m:dPr>
          <m:e>
            <m:r>
              <m:rPr>
                <m:sty m:val="p"/>
              </m:rPr>
              <w:rPr>
                <w:rFonts w:ascii="Cambria Math" w:hAnsi="Cambria Math"/>
              </w:rPr>
              <m:t>Re</m:t>
            </m:r>
          </m:e>
        </m:d>
      </m:oMath>
      <w:r w:rsidRPr="003C5002">
        <w:t xml:space="preserve">): </w:t>
      </w:r>
    </w:p>
    <w:tbl>
      <w:tblPr>
        <w:tblW w:w="0" w:type="auto"/>
        <w:tblLook w:val="04A0"/>
      </w:tblPr>
      <w:tblGrid>
        <w:gridCol w:w="8330"/>
        <w:gridCol w:w="882"/>
      </w:tblGrid>
      <w:tr w:rsidR="007B3043" w:rsidRPr="009D3BF4" w:rsidTr="00264FB9">
        <w:tc>
          <w:tcPr>
            <w:tcW w:w="8330" w:type="dxa"/>
            <w:vAlign w:val="center"/>
          </w:tcPr>
          <w:p w:rsidR="007B3043" w:rsidRPr="009D3BF4" w:rsidRDefault="007B3043" w:rsidP="00264FB9">
            <w:pPr>
              <w:spacing w:before="120" w:after="120"/>
              <w:jc w:val="both"/>
              <w:rPr>
                <w:rFonts w:ascii="CG Omega" w:hAnsi="CG Omega"/>
                <w:iCs/>
                <w:lang w:eastAsia="en-GB"/>
              </w:rPr>
            </w:pPr>
            <m:oMathPara>
              <m:oMath>
                <m:r>
                  <m:rPr>
                    <m:sty m:val="p"/>
                  </m:rPr>
                  <w:rPr>
                    <w:rFonts w:ascii="Cambria Math" w:hAnsi="Cambria Math"/>
                    <w:lang w:eastAsia="en-GB"/>
                  </w:rPr>
                  <m:t>∆P=f</m:t>
                </m:r>
                <m:f>
                  <m:fPr>
                    <m:ctrlPr>
                      <w:rPr>
                        <w:rFonts w:ascii="Cambria Math" w:hAnsi="Cambria Math"/>
                        <w:iCs/>
                        <w:lang w:eastAsia="en-GB"/>
                      </w:rPr>
                    </m:ctrlPr>
                  </m:fPr>
                  <m:num>
                    <m:sSub>
                      <m:sSubPr>
                        <m:ctrlPr>
                          <w:rPr>
                            <w:rFonts w:ascii="Cambria Math" w:hAnsi="Cambria Math"/>
                            <w:iCs/>
                            <w:lang w:eastAsia="en-GB"/>
                          </w:rPr>
                        </m:ctrlPr>
                      </m:sSubPr>
                      <m:e>
                        <m:r>
                          <m:rPr>
                            <m:sty m:val="p"/>
                          </m:rPr>
                          <w:rPr>
                            <w:rFonts w:ascii="Cambria Math" w:hAnsi="Cambria Math"/>
                            <w:lang w:eastAsia="en-GB"/>
                          </w:rPr>
                          <m:t>L</m:t>
                        </m:r>
                      </m:e>
                      <m:sub>
                        <m:r>
                          <m:rPr>
                            <m:sty m:val="p"/>
                          </m:rPr>
                          <w:rPr>
                            <w:rFonts w:ascii="Cambria Math" w:hAnsi="Cambria Math"/>
                            <w:lang w:eastAsia="en-GB"/>
                          </w:rPr>
                          <m:t>pin</m:t>
                        </m:r>
                      </m:sub>
                    </m:sSub>
                  </m:num>
                  <m:den>
                    <m:sSub>
                      <m:sSubPr>
                        <m:ctrlPr>
                          <w:rPr>
                            <w:rFonts w:ascii="Cambria Math" w:hAnsi="Cambria Math"/>
                            <w:iCs/>
                            <w:lang w:eastAsia="en-GB"/>
                          </w:rPr>
                        </m:ctrlPr>
                      </m:sSubPr>
                      <m:e>
                        <m:r>
                          <m:rPr>
                            <m:sty m:val="p"/>
                          </m:rPr>
                          <w:rPr>
                            <w:rFonts w:ascii="Cambria Math" w:hAnsi="Cambria Math"/>
                            <w:lang w:eastAsia="en-GB"/>
                          </w:rPr>
                          <m:t>D</m:t>
                        </m:r>
                      </m:e>
                      <m:sub>
                        <m:r>
                          <m:rPr>
                            <m:sty m:val="p"/>
                          </m:rPr>
                          <w:rPr>
                            <w:rFonts w:ascii="Cambria Math" w:hAnsi="Cambria Math"/>
                            <w:lang w:eastAsia="en-GB"/>
                          </w:rPr>
                          <m:t>eq</m:t>
                        </m:r>
                      </m:sub>
                    </m:sSub>
                  </m:den>
                </m:f>
                <m:r>
                  <m:rPr>
                    <m:sty m:val="p"/>
                  </m:rPr>
                  <w:rPr>
                    <w:rFonts w:ascii="Cambria Math" w:hAnsi="Cambria Math"/>
                    <w:lang w:eastAsia="en-GB"/>
                  </w:rPr>
                  <m:t>0.5ρ</m:t>
                </m:r>
                <m:sSup>
                  <m:sSupPr>
                    <m:ctrlPr>
                      <w:rPr>
                        <w:rFonts w:ascii="Cambria Math" w:hAnsi="Cambria Math"/>
                        <w:iCs/>
                        <w:lang w:eastAsia="en-GB"/>
                      </w:rPr>
                    </m:ctrlPr>
                  </m:sSupPr>
                  <m:e>
                    <m:r>
                      <m:rPr>
                        <m:sty m:val="p"/>
                      </m:rPr>
                      <w:rPr>
                        <w:rFonts w:ascii="Cambria Math" w:hAnsi="Cambria Math"/>
                        <w:lang w:eastAsia="en-GB"/>
                      </w:rPr>
                      <m:t>u</m:t>
                    </m:r>
                  </m:e>
                  <m:sup>
                    <m:r>
                      <m:rPr>
                        <m:sty m:val="p"/>
                      </m:rPr>
                      <w:rPr>
                        <w:rFonts w:ascii="Cambria Math" w:hAnsi="Cambria Math"/>
                        <w:lang w:eastAsia="en-GB"/>
                      </w:rPr>
                      <m:t>2</m:t>
                    </m:r>
                  </m:sup>
                </m:sSup>
              </m:oMath>
            </m:oMathPara>
          </w:p>
        </w:tc>
        <w:tc>
          <w:tcPr>
            <w:tcW w:w="882" w:type="dxa"/>
            <w:vAlign w:val="center"/>
          </w:tcPr>
          <w:p w:rsidR="007B3043" w:rsidRPr="009D3BF4" w:rsidRDefault="007B3043" w:rsidP="00264FB9">
            <w:pPr>
              <w:pStyle w:val="Caption"/>
              <w:jc w:val="both"/>
              <w:rPr>
                <w:rFonts w:ascii="CG Omega" w:hAnsi="CG Omega"/>
                <w:b/>
                <w:bCs/>
                <w:iCs/>
                <w:szCs w:val="22"/>
                <w:lang w:eastAsia="en-GB"/>
              </w:rPr>
            </w:pPr>
            <w:r w:rsidRPr="009D3BF4">
              <w:rPr>
                <w:rFonts w:ascii="CG Omega" w:hAnsi="CG Omega"/>
                <w:iCs/>
                <w:szCs w:val="22"/>
                <w:lang w:eastAsia="en-GB"/>
              </w:rPr>
              <w:t>(</w:t>
            </w:r>
            <w:r w:rsidR="00066E55" w:rsidRPr="009D3BF4">
              <w:rPr>
                <w:rFonts w:ascii="CG Omega" w:hAnsi="CG Omega"/>
                <w:b/>
                <w:bCs/>
                <w:iCs/>
                <w:szCs w:val="22"/>
                <w:lang w:eastAsia="en-GB"/>
              </w:rPr>
              <w:fldChar w:fldCharType="begin"/>
            </w:r>
            <w:r w:rsidRPr="009D3BF4">
              <w:rPr>
                <w:rFonts w:ascii="CG Omega" w:hAnsi="CG Omega"/>
                <w:iCs/>
                <w:szCs w:val="22"/>
                <w:lang w:eastAsia="en-GB"/>
              </w:rPr>
              <w:instrText xml:space="preserve"> SEQ 1. \* ARABIC </w:instrText>
            </w:r>
            <w:r w:rsidR="00066E55" w:rsidRPr="009D3BF4">
              <w:rPr>
                <w:rFonts w:ascii="CG Omega" w:hAnsi="CG Omega"/>
                <w:b/>
                <w:bCs/>
                <w:iCs/>
                <w:szCs w:val="22"/>
                <w:lang w:eastAsia="en-GB"/>
              </w:rPr>
              <w:fldChar w:fldCharType="separate"/>
            </w:r>
            <w:r w:rsidR="003B7F32">
              <w:rPr>
                <w:rFonts w:ascii="CG Omega" w:hAnsi="CG Omega"/>
                <w:iCs/>
                <w:noProof/>
                <w:szCs w:val="22"/>
                <w:lang w:eastAsia="en-GB"/>
              </w:rPr>
              <w:t>2</w:t>
            </w:r>
            <w:r w:rsidR="00066E55" w:rsidRPr="009D3BF4">
              <w:rPr>
                <w:rFonts w:ascii="CG Omega" w:hAnsi="CG Omega"/>
                <w:b/>
                <w:bCs/>
                <w:iCs/>
                <w:szCs w:val="22"/>
                <w:lang w:eastAsia="en-GB"/>
              </w:rPr>
              <w:fldChar w:fldCharType="end"/>
            </w:r>
            <w:r w:rsidRPr="009D3BF4">
              <w:rPr>
                <w:rFonts w:ascii="CG Omega" w:hAnsi="CG Omega"/>
                <w:iCs/>
                <w:szCs w:val="22"/>
                <w:lang w:eastAsia="en-GB"/>
              </w:rPr>
              <w:t>)</w:t>
            </w:r>
          </w:p>
        </w:tc>
      </w:tr>
    </w:tbl>
    <w:p w:rsidR="007B3043" w:rsidRPr="003C5002" w:rsidRDefault="007B3043" w:rsidP="003C5002">
      <w:pPr>
        <w:pStyle w:val="BodyText"/>
      </w:pPr>
      <w:r w:rsidRPr="003C5002">
        <w:t xml:space="preserve">In the above equation, </w:t>
      </w:r>
      <m:oMath>
        <m:r>
          <m:rPr>
            <m:sty m:val="p"/>
          </m:rPr>
          <w:rPr>
            <w:rFonts w:ascii="Cambria Math" w:hAnsi="Cambria Math"/>
          </w:rPr>
          <m:t>u</m:t>
        </m:r>
      </m:oMath>
      <w:r w:rsidRPr="003C5002">
        <w:t xml:space="preserve"> is the local flow velocity, </w:t>
      </w: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pin</m:t>
            </m:r>
          </m:sub>
        </m:sSub>
      </m:oMath>
      <w:r w:rsidRPr="003C5002">
        <w:t xml:space="preserve"> corresponds to the pin length,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eq</m:t>
            </m:r>
          </m:sub>
        </m:sSub>
      </m:oMath>
      <w:r w:rsidRPr="003C5002">
        <w:t xml:space="preserve"> is the equivalent diameter and </w:t>
      </w:r>
      <m:oMath>
        <m:r>
          <m:rPr>
            <m:sty m:val="p"/>
          </m:rPr>
          <w:rPr>
            <w:rFonts w:ascii="Cambria Math" w:hAnsi="Cambria Math"/>
          </w:rPr>
          <m:t>f</m:t>
        </m:r>
      </m:oMath>
      <w:r w:rsidRPr="003C5002">
        <w:t xml:space="preserve"> is the friction factor given by: </w:t>
      </w:r>
    </w:p>
    <w:tbl>
      <w:tblPr>
        <w:tblW w:w="0" w:type="auto"/>
        <w:tblLook w:val="04A0"/>
      </w:tblPr>
      <w:tblGrid>
        <w:gridCol w:w="8330"/>
        <w:gridCol w:w="882"/>
      </w:tblGrid>
      <w:tr w:rsidR="007B3043" w:rsidRPr="009D3BF4" w:rsidTr="00264FB9">
        <w:tc>
          <w:tcPr>
            <w:tcW w:w="8330" w:type="dxa"/>
            <w:vAlign w:val="center"/>
          </w:tcPr>
          <w:p w:rsidR="007B3043" w:rsidRPr="009D3BF4" w:rsidRDefault="007B3043" w:rsidP="00264FB9">
            <w:pPr>
              <w:spacing w:before="120" w:after="120"/>
              <w:jc w:val="both"/>
              <w:rPr>
                <w:oMath/>
                <w:rFonts w:ascii="Cambria Math" w:hAnsi="Cambria Math"/>
                <w:lang w:eastAsia="en-GB"/>
              </w:rPr>
            </w:pPr>
            <m:oMathPara>
              <m:oMath>
                <m:r>
                  <m:rPr>
                    <m:sty m:val="p"/>
                  </m:rPr>
                  <w:rPr>
                    <w:rFonts w:ascii="Cambria Math" w:hAnsi="Cambria Math"/>
                    <w:lang w:eastAsia="en-GB"/>
                  </w:rPr>
                  <m:t>f=</m:t>
                </m:r>
                <m:d>
                  <m:dPr>
                    <m:ctrlPr>
                      <w:rPr>
                        <w:rFonts w:ascii="Cambria Math" w:hAnsi="Cambria Math"/>
                        <w:iCs/>
                        <w:lang w:eastAsia="en-GB"/>
                      </w:rPr>
                    </m:ctrlPr>
                  </m:dPr>
                  <m:e>
                    <m:f>
                      <m:fPr>
                        <m:ctrlPr>
                          <w:rPr>
                            <w:rFonts w:ascii="Cambria Math" w:hAnsi="Cambria Math"/>
                            <w:iCs/>
                            <w:lang w:eastAsia="en-GB"/>
                          </w:rPr>
                        </m:ctrlPr>
                      </m:fPr>
                      <m:num>
                        <m:r>
                          <m:rPr>
                            <m:sty m:val="p"/>
                          </m:rPr>
                          <w:rPr>
                            <w:rFonts w:ascii="Cambria Math" w:hAnsi="Cambria Math"/>
                            <w:lang w:eastAsia="en-GB"/>
                          </w:rPr>
                          <m:t>64</m:t>
                        </m:r>
                      </m:num>
                      <m:den>
                        <m:r>
                          <m:rPr>
                            <m:sty m:val="p"/>
                          </m:rPr>
                          <w:rPr>
                            <w:rFonts w:ascii="Cambria Math" w:hAnsi="Cambria Math"/>
                            <w:lang w:eastAsia="en-GB"/>
                          </w:rPr>
                          <m:t>Re</m:t>
                        </m:r>
                      </m:den>
                    </m:f>
                    <m:sSup>
                      <m:sSupPr>
                        <m:ctrlPr>
                          <w:rPr>
                            <w:rFonts w:ascii="Cambria Math" w:hAnsi="Cambria Math"/>
                            <w:iCs/>
                            <w:lang w:eastAsia="en-GB"/>
                          </w:rPr>
                        </m:ctrlPr>
                      </m:sSupPr>
                      <m:e>
                        <m:r>
                          <m:rPr>
                            <m:sty m:val="p"/>
                          </m:rPr>
                          <w:rPr>
                            <w:rFonts w:ascii="Cambria Math" w:hAnsi="Cambria Math"/>
                            <w:lang w:eastAsia="en-GB"/>
                          </w:rPr>
                          <m:t>F</m:t>
                        </m:r>
                      </m:e>
                      <m:sup>
                        <m:r>
                          <m:rPr>
                            <m:sty m:val="p"/>
                          </m:rPr>
                          <w:rPr>
                            <w:rFonts w:ascii="Cambria Math" w:hAnsi="Cambria Math"/>
                            <w:lang w:eastAsia="en-GB"/>
                          </w:rPr>
                          <m:t>0.5</m:t>
                        </m:r>
                      </m:sup>
                    </m:sSup>
                    <m:r>
                      <m:rPr>
                        <m:sty m:val="p"/>
                      </m:rPr>
                      <w:rPr>
                        <w:rFonts w:ascii="Cambria Math" w:hAnsi="Cambria Math"/>
                        <w:lang w:eastAsia="en-GB"/>
                      </w:rPr>
                      <m:t>+</m:t>
                    </m:r>
                    <m:f>
                      <m:fPr>
                        <m:ctrlPr>
                          <w:rPr>
                            <w:rFonts w:ascii="Cambria Math" w:hAnsi="Cambria Math"/>
                            <w:iCs/>
                            <w:lang w:eastAsia="en-GB"/>
                          </w:rPr>
                        </m:ctrlPr>
                      </m:fPr>
                      <m:num>
                        <m:r>
                          <m:rPr>
                            <m:sty m:val="p"/>
                          </m:rPr>
                          <w:rPr>
                            <w:rFonts w:ascii="Cambria Math" w:hAnsi="Cambria Math"/>
                            <w:lang w:eastAsia="en-GB"/>
                          </w:rPr>
                          <m:t>0.0816</m:t>
                        </m:r>
                      </m:num>
                      <m:den>
                        <m:sSup>
                          <m:sSupPr>
                            <m:ctrlPr>
                              <w:rPr>
                                <w:rFonts w:ascii="Cambria Math" w:hAnsi="Cambria Math"/>
                                <w:iCs/>
                                <w:lang w:eastAsia="en-GB"/>
                              </w:rPr>
                            </m:ctrlPr>
                          </m:sSupPr>
                          <m:e>
                            <m:r>
                              <m:rPr>
                                <m:sty m:val="p"/>
                              </m:rPr>
                              <w:rPr>
                                <w:rFonts w:ascii="Cambria Math" w:hAnsi="Cambria Math"/>
                                <w:lang w:eastAsia="en-GB"/>
                              </w:rPr>
                              <m:t>Re</m:t>
                            </m:r>
                          </m:e>
                          <m:sup>
                            <m:r>
                              <m:rPr>
                                <m:sty m:val="p"/>
                              </m:rPr>
                              <w:rPr>
                                <w:rFonts w:ascii="Cambria Math" w:hAnsi="Cambria Math"/>
                                <w:lang w:eastAsia="en-GB"/>
                              </w:rPr>
                              <m:t>0.133</m:t>
                            </m:r>
                          </m:sup>
                        </m:sSup>
                      </m:den>
                    </m:f>
                    <m:sSup>
                      <m:sSupPr>
                        <m:ctrlPr>
                          <w:rPr>
                            <w:rFonts w:ascii="Cambria Math" w:hAnsi="Cambria Math"/>
                            <w:iCs/>
                            <w:lang w:eastAsia="en-GB"/>
                          </w:rPr>
                        </m:ctrlPr>
                      </m:sSupPr>
                      <m:e>
                        <m:r>
                          <m:rPr>
                            <m:sty m:val="p"/>
                          </m:rPr>
                          <w:rPr>
                            <w:rFonts w:ascii="Cambria Math" w:hAnsi="Cambria Math"/>
                            <w:lang w:eastAsia="en-GB"/>
                          </w:rPr>
                          <m:t>F</m:t>
                        </m:r>
                      </m:e>
                      <m:sup>
                        <m:r>
                          <m:rPr>
                            <m:sty m:val="p"/>
                          </m:rPr>
                          <w:rPr>
                            <w:rFonts w:ascii="Cambria Math" w:hAnsi="Cambria Math"/>
                            <w:lang w:eastAsia="en-GB"/>
                          </w:rPr>
                          <m:t>0.9335</m:t>
                        </m:r>
                      </m:sup>
                    </m:sSup>
                  </m:e>
                </m:d>
                <m:sSub>
                  <m:sSubPr>
                    <m:ctrlPr>
                      <w:rPr>
                        <w:rFonts w:ascii="Cambria Math" w:hAnsi="Cambria Math"/>
                        <w:iCs/>
                        <w:lang w:eastAsia="en-GB"/>
                      </w:rPr>
                    </m:ctrlPr>
                  </m:sSubPr>
                  <m:e>
                    <m:r>
                      <m:rPr>
                        <m:sty m:val="p"/>
                      </m:rPr>
                      <w:rPr>
                        <w:rFonts w:ascii="Cambria Math" w:hAnsi="Cambria Math"/>
                        <w:lang w:eastAsia="en-GB"/>
                      </w:rPr>
                      <m:t>N</m:t>
                    </m:r>
                  </m:e>
                  <m:sub>
                    <m:r>
                      <m:rPr>
                        <m:sty m:val="p"/>
                      </m:rPr>
                      <w:rPr>
                        <w:rFonts w:ascii="Cambria Math" w:hAnsi="Cambria Math"/>
                        <w:lang w:eastAsia="en-GB"/>
                      </w:rPr>
                      <m:t>r</m:t>
                    </m:r>
                  </m:sub>
                </m:sSub>
                <m:r>
                  <m:rPr>
                    <m:sty m:val="p"/>
                  </m:rPr>
                  <w:rPr>
                    <w:rFonts w:ascii="Cambria Math" w:hAnsi="Cambria Math"/>
                    <w:lang w:eastAsia="en-GB"/>
                  </w:rPr>
                  <m:t>π</m:t>
                </m:r>
                <m:d>
                  <m:dPr>
                    <m:ctrlPr>
                      <w:rPr>
                        <w:rFonts w:ascii="Cambria Math" w:hAnsi="Cambria Math"/>
                        <w:iCs/>
                        <w:lang w:eastAsia="en-GB"/>
                      </w:rPr>
                    </m:ctrlPr>
                  </m:dPr>
                  <m:e>
                    <m:sSub>
                      <m:sSubPr>
                        <m:ctrlPr>
                          <w:rPr>
                            <w:rFonts w:ascii="Cambria Math" w:hAnsi="Cambria Math"/>
                            <w:iCs/>
                            <w:lang w:eastAsia="en-GB"/>
                          </w:rPr>
                        </m:ctrlPr>
                      </m:sSubPr>
                      <m:e>
                        <m:r>
                          <m:rPr>
                            <m:sty m:val="p"/>
                          </m:rPr>
                          <w:rPr>
                            <w:rFonts w:ascii="Cambria Math" w:hAnsi="Cambria Math"/>
                            <w:lang w:eastAsia="en-GB"/>
                          </w:rPr>
                          <m:t>D</m:t>
                        </m:r>
                      </m:e>
                      <m:sub>
                        <m:r>
                          <m:rPr>
                            <m:sty m:val="p"/>
                          </m:rPr>
                          <w:rPr>
                            <w:rFonts w:ascii="Cambria Math" w:hAnsi="Cambria Math"/>
                            <w:lang w:eastAsia="en-GB"/>
                          </w:rPr>
                          <m:t>r</m:t>
                        </m:r>
                      </m:sub>
                    </m:sSub>
                    <m:r>
                      <m:rPr>
                        <m:sty m:val="p"/>
                      </m:rPr>
                      <w:rPr>
                        <w:rFonts w:ascii="Cambria Math" w:hAnsi="Cambria Math"/>
                        <w:lang w:eastAsia="en-GB"/>
                      </w:rPr>
                      <m:t>+</m:t>
                    </m:r>
                    <m:sSub>
                      <m:sSubPr>
                        <m:ctrlPr>
                          <w:rPr>
                            <w:rFonts w:ascii="Cambria Math" w:hAnsi="Cambria Math"/>
                            <w:iCs/>
                            <w:lang w:eastAsia="en-GB"/>
                          </w:rPr>
                        </m:ctrlPr>
                      </m:sSubPr>
                      <m:e>
                        <m:r>
                          <m:rPr>
                            <m:sty m:val="p"/>
                          </m:rPr>
                          <w:rPr>
                            <w:rFonts w:ascii="Cambria Math" w:hAnsi="Cambria Math"/>
                            <w:lang w:eastAsia="en-GB"/>
                          </w:rPr>
                          <m:t>D</m:t>
                        </m:r>
                      </m:e>
                      <m:sub>
                        <m:r>
                          <m:rPr>
                            <m:sty m:val="p"/>
                          </m:rPr>
                          <w:rPr>
                            <w:rFonts w:ascii="Cambria Math" w:hAnsi="Cambria Math"/>
                            <w:lang w:eastAsia="en-GB"/>
                          </w:rPr>
                          <m:t>w</m:t>
                        </m:r>
                      </m:sub>
                    </m:sSub>
                  </m:e>
                </m:d>
                <m:f>
                  <m:fPr>
                    <m:ctrlPr>
                      <w:rPr>
                        <w:rFonts w:ascii="Cambria Math" w:hAnsi="Cambria Math"/>
                        <w:iCs/>
                        <w:lang w:eastAsia="en-GB"/>
                      </w:rPr>
                    </m:ctrlPr>
                  </m:fPr>
                  <m:num>
                    <m:r>
                      <m:rPr>
                        <m:sty m:val="p"/>
                      </m:rPr>
                      <w:rPr>
                        <w:rFonts w:ascii="Cambria Math" w:hAnsi="Cambria Math"/>
                        <w:lang w:eastAsia="en-GB"/>
                      </w:rPr>
                      <m:t>1</m:t>
                    </m:r>
                  </m:num>
                  <m:den>
                    <m:r>
                      <m:rPr>
                        <m:sty m:val="p"/>
                      </m:rPr>
                      <w:rPr>
                        <w:rFonts w:ascii="Cambria Math" w:hAnsi="Cambria Math"/>
                        <w:lang w:eastAsia="en-GB"/>
                      </w:rPr>
                      <m:t>St</m:t>
                    </m:r>
                  </m:den>
                </m:f>
              </m:oMath>
            </m:oMathPara>
          </w:p>
        </w:tc>
        <w:tc>
          <w:tcPr>
            <w:tcW w:w="882" w:type="dxa"/>
            <w:vAlign w:val="center"/>
          </w:tcPr>
          <w:p w:rsidR="007B3043" w:rsidRPr="009D3BF4" w:rsidRDefault="007B3043" w:rsidP="00264FB9">
            <w:pPr>
              <w:pStyle w:val="Caption"/>
              <w:jc w:val="both"/>
              <w:rPr>
                <w:rFonts w:ascii="CG Omega" w:hAnsi="CG Omega"/>
                <w:b/>
                <w:bCs/>
                <w:iCs/>
                <w:szCs w:val="22"/>
                <w:lang w:eastAsia="en-GB"/>
              </w:rPr>
            </w:pPr>
            <w:r w:rsidRPr="009D3BF4">
              <w:rPr>
                <w:rFonts w:ascii="CG Omega" w:hAnsi="CG Omega"/>
                <w:iCs/>
                <w:szCs w:val="22"/>
                <w:lang w:eastAsia="en-GB"/>
              </w:rPr>
              <w:t>(</w:t>
            </w:r>
            <w:r w:rsidR="00066E55" w:rsidRPr="009D3BF4">
              <w:rPr>
                <w:rFonts w:ascii="CG Omega" w:hAnsi="CG Omega"/>
                <w:b/>
                <w:bCs/>
                <w:iCs/>
                <w:szCs w:val="22"/>
                <w:lang w:eastAsia="en-GB"/>
              </w:rPr>
              <w:fldChar w:fldCharType="begin"/>
            </w:r>
            <w:r w:rsidRPr="009D3BF4">
              <w:rPr>
                <w:rFonts w:ascii="CG Omega" w:hAnsi="CG Omega"/>
                <w:iCs/>
                <w:szCs w:val="22"/>
                <w:lang w:eastAsia="en-GB"/>
              </w:rPr>
              <w:instrText xml:space="preserve"> SEQ 1. \* ARABIC </w:instrText>
            </w:r>
            <w:r w:rsidR="00066E55" w:rsidRPr="009D3BF4">
              <w:rPr>
                <w:rFonts w:ascii="CG Omega" w:hAnsi="CG Omega"/>
                <w:b/>
                <w:bCs/>
                <w:iCs/>
                <w:szCs w:val="22"/>
                <w:lang w:eastAsia="en-GB"/>
              </w:rPr>
              <w:fldChar w:fldCharType="separate"/>
            </w:r>
            <w:r w:rsidR="003B7F32">
              <w:rPr>
                <w:rFonts w:ascii="CG Omega" w:hAnsi="CG Omega"/>
                <w:iCs/>
                <w:noProof/>
                <w:szCs w:val="22"/>
                <w:lang w:eastAsia="en-GB"/>
              </w:rPr>
              <w:t>3</w:t>
            </w:r>
            <w:r w:rsidR="00066E55" w:rsidRPr="009D3BF4">
              <w:rPr>
                <w:rFonts w:ascii="CG Omega" w:hAnsi="CG Omega"/>
                <w:b/>
                <w:bCs/>
                <w:iCs/>
                <w:szCs w:val="22"/>
                <w:lang w:eastAsia="en-GB"/>
              </w:rPr>
              <w:fldChar w:fldCharType="end"/>
            </w:r>
            <w:r w:rsidRPr="009D3BF4">
              <w:rPr>
                <w:rFonts w:ascii="CG Omega" w:hAnsi="CG Omega"/>
                <w:iCs/>
                <w:szCs w:val="22"/>
                <w:lang w:eastAsia="en-GB"/>
              </w:rPr>
              <w:t>)</w:t>
            </w:r>
          </w:p>
        </w:tc>
      </w:tr>
    </w:tbl>
    <w:p w:rsidR="007B3043" w:rsidRPr="003C5002" w:rsidRDefault="007B3043" w:rsidP="003C5002">
      <w:pPr>
        <w:pStyle w:val="BodyText"/>
      </w:pPr>
      <w:proofErr w:type="gramStart"/>
      <w:r w:rsidRPr="003C5002">
        <w:t>where</w:t>
      </w:r>
      <w:proofErr w:type="gramEnd"/>
      <w:r w:rsidRPr="003C5002">
        <w:t xml:space="preserv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oMath>
      <w:r w:rsidRPr="003C5002">
        <w:t xml:space="preserve"> is equal to the number of pins,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r</m:t>
            </m:r>
          </m:sub>
        </m:sSub>
      </m:oMath>
      <w:r w:rsidRPr="003C5002">
        <w:t xml:space="preserve"> is the clad outside diameter and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w</m:t>
            </m:r>
          </m:sub>
        </m:sSub>
      </m:oMath>
      <w:r w:rsidRPr="003C5002">
        <w:t xml:space="preserve"> is the wire diameter. The geometrical factor </w:t>
      </w:r>
      <m:oMath>
        <m:r>
          <m:rPr>
            <m:sty m:val="p"/>
          </m:rPr>
          <w:rPr>
            <w:rFonts w:ascii="Cambria Math" w:hAnsi="Cambria Math"/>
          </w:rPr>
          <m:t>F</m:t>
        </m:r>
      </m:oMath>
      <w:r w:rsidRPr="003C5002">
        <w:t xml:space="preserve"> is fixed to 1.225. More details are available in [</w:t>
      </w:r>
      <w:r w:rsidR="00612494">
        <w:fldChar w:fldCharType="begin"/>
      </w:r>
      <w:r w:rsidR="00612494">
        <w:instrText xml:space="preserve"> REF _Ref478989790 \r \h </w:instrText>
      </w:r>
      <w:r w:rsidR="00612494">
        <w:fldChar w:fldCharType="separate"/>
      </w:r>
      <w:r w:rsidR="003B7F32">
        <w:t>7</w:t>
      </w:r>
      <w:r w:rsidR="00612494">
        <w:fldChar w:fldCharType="end"/>
      </w:r>
      <w:proofErr w:type="gramStart"/>
      <w:r w:rsidR="00612494">
        <w:t>,</w:t>
      </w:r>
      <w:proofErr w:type="gramEnd"/>
      <w:r w:rsidR="00066E55">
        <w:fldChar w:fldCharType="begin"/>
      </w:r>
      <w:r w:rsidR="00390B94">
        <w:instrText xml:space="preserve"> REF _Ref478718152 \r \h  \* MERGEFORMAT </w:instrText>
      </w:r>
      <w:r w:rsidR="00066E55">
        <w:fldChar w:fldCharType="separate"/>
      </w:r>
      <w:r w:rsidR="003B7F32">
        <w:t>8</w:t>
      </w:r>
      <w:r w:rsidR="00066E55">
        <w:fldChar w:fldCharType="end"/>
      </w:r>
      <w:r w:rsidRPr="003C5002">
        <w:t xml:space="preserve">]. The formulas given by equations (4) and (5) are implemented within the numerical model by defining a new porous model class, using </w:t>
      </w:r>
      <w:r w:rsidR="001130D3" w:rsidRPr="003C5002">
        <w:t xml:space="preserve">the </w:t>
      </w:r>
      <w:r w:rsidRPr="003C5002">
        <w:t xml:space="preserve">local velocity to calculated </w:t>
      </w:r>
      <m:oMath>
        <m:r>
          <m:rPr>
            <m:sty m:val="p"/>
          </m:rPr>
          <w:rPr>
            <w:rFonts w:ascii="Cambria Math" w:hAnsi="Cambria Math"/>
          </w:rPr>
          <m:t>Re</m:t>
        </m:r>
      </m:oMath>
      <w:r w:rsidRPr="003C5002">
        <w:t xml:space="preserve"> </w:t>
      </w:r>
      <w:proofErr w:type="gramStart"/>
      <w:r w:rsidRPr="003C5002">
        <w:t xml:space="preserve">and </w:t>
      </w:r>
      <m:oMath>
        <w:proofErr w:type="gramEnd"/>
        <m:r>
          <m:rPr>
            <m:sty m:val="p"/>
          </m:rPr>
          <w:rPr>
            <w:rFonts w:ascii="Cambria Math" w:hAnsi="Cambria Math"/>
          </w:rPr>
          <m:t>f</m:t>
        </m:r>
      </m:oMath>
      <w:r w:rsidRPr="003C5002">
        <w:t xml:space="preserve">. The inner dummies are modeled as the FA rings since </w:t>
      </w:r>
      <w:r w:rsidR="001130D3" w:rsidRPr="003C5002">
        <w:t xml:space="preserve">they </w:t>
      </w:r>
      <w:r w:rsidRPr="003C5002">
        <w:t>have the same flow rate and pressure drop. The axial resistance coefficient of the two other core rings, IPS+SR+CR and outer dummies, was kept constant and first approximated based on the desi</w:t>
      </w:r>
      <w:r w:rsidR="00B2523B" w:rsidRPr="003C5002">
        <w:t>red mass flow rate distribution</w:t>
      </w:r>
      <w:r w:rsidRPr="003C5002">
        <w:t>.</w:t>
      </w:r>
    </w:p>
    <w:p w:rsidR="00B2523B" w:rsidRPr="003C5002" w:rsidRDefault="007B3043" w:rsidP="003C5002">
      <w:pPr>
        <w:pStyle w:val="BodyText"/>
      </w:pPr>
      <w:r w:rsidRPr="003C5002">
        <w:t xml:space="preserve">The heat in the core is </w:t>
      </w:r>
      <w:proofErr w:type="spellStart"/>
      <w:r w:rsidRPr="003C5002">
        <w:t>modeled</w:t>
      </w:r>
      <w:proofErr w:type="spellEnd"/>
      <w:r w:rsidRPr="003C5002">
        <w:t xml:space="preserve"> as a volumetric heat source of 100 MW in total and is limited to the inner and outer FA rings, where the nuclear reaction is significant. The foreseen radial power distribution is approximated by a third order polynomial to approach an integrated power of 24.6 MW and 75.4 MW in the inner and outer Fuel Assembly rings. A detailed description of the real and fitted distributions is given in </w:t>
      </w:r>
      <w:fldSimple w:instr=" REF _Ref411426090 \h  \* MERGEFORMAT ">
        <w:r w:rsidR="003B7F32" w:rsidRPr="009D7EED">
          <w:t xml:space="preserve">Figure </w:t>
        </w:r>
        <w:r w:rsidR="003B7F32">
          <w:t>21</w:t>
        </w:r>
      </w:fldSimple>
      <w:r w:rsidRPr="003C5002">
        <w:t>/a. As can be seen, the functional source is only active where the fuel e</w:t>
      </w:r>
      <w:r w:rsidR="00B2523B" w:rsidRPr="003C5002">
        <w:t>lements are placed in the core.</w:t>
      </w:r>
    </w:p>
    <w:p w:rsidR="007B3043" w:rsidRDefault="007B3043" w:rsidP="00037A15">
      <w:pPr>
        <w:keepNext/>
        <w:spacing w:before="120" w:after="120"/>
        <w:jc w:val="center"/>
      </w:pPr>
      <w:r w:rsidRPr="005D3646">
        <w:rPr>
          <w:noProof/>
          <w:lang w:eastAsia="en-GB"/>
        </w:rPr>
        <w:drawing>
          <wp:inline distT="0" distB="0" distL="0" distR="0">
            <wp:extent cx="3857625" cy="1560206"/>
            <wp:effectExtent l="19050" t="0" r="9525" b="0"/>
            <wp:docPr id="301057" name="Picture 10" descr="Core-heatsou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heatsource.png"/>
                    <pic:cNvPicPr/>
                  </pic:nvPicPr>
                  <pic:blipFill>
                    <a:blip r:embed="rId61" cstate="print"/>
                    <a:stretch>
                      <a:fillRect/>
                    </a:stretch>
                  </pic:blipFill>
                  <pic:spPr>
                    <a:xfrm>
                      <a:off x="0" y="0"/>
                      <a:ext cx="3861940" cy="1561951"/>
                    </a:xfrm>
                    <a:prstGeom prst="rect">
                      <a:avLst/>
                    </a:prstGeom>
                  </pic:spPr>
                </pic:pic>
              </a:graphicData>
            </a:graphic>
          </wp:inline>
        </w:drawing>
      </w:r>
    </w:p>
    <w:p w:rsidR="007B3043" w:rsidRPr="009D7EED" w:rsidRDefault="007B3043" w:rsidP="00037A15">
      <w:pPr>
        <w:pStyle w:val="Caption"/>
        <w:spacing w:after="120" w:line="240" w:lineRule="auto"/>
        <w:jc w:val="center"/>
      </w:pPr>
      <w:bookmarkStart w:id="40" w:name="_Ref411426090"/>
      <w:r w:rsidRPr="009D7EED">
        <w:t xml:space="preserve">Figure </w:t>
      </w:r>
      <w:r w:rsidR="00066E55">
        <w:fldChar w:fldCharType="begin"/>
      </w:r>
      <w:r w:rsidR="0077354E">
        <w:instrText xml:space="preserve"> SEQ Figure \* ARABIC </w:instrText>
      </w:r>
      <w:r w:rsidR="00066E55">
        <w:fldChar w:fldCharType="separate"/>
      </w:r>
      <w:r w:rsidR="003B7F32">
        <w:rPr>
          <w:noProof/>
        </w:rPr>
        <w:t>21</w:t>
      </w:r>
      <w:r w:rsidR="00066E55">
        <w:rPr>
          <w:noProof/>
        </w:rPr>
        <w:fldChar w:fldCharType="end"/>
      </w:r>
      <w:bookmarkEnd w:id="40"/>
      <w:r w:rsidRPr="009D7EED">
        <w:t>: a) Radial heat source distribution b) Axial positioning of the heat source</w:t>
      </w:r>
    </w:p>
    <w:p w:rsidR="007B3043" w:rsidRPr="003C5002" w:rsidRDefault="007B3043" w:rsidP="003C5002">
      <w:pPr>
        <w:pStyle w:val="BodyText"/>
      </w:pPr>
      <w:r w:rsidRPr="003C5002">
        <w:t xml:space="preserve">In the axial direction, the shape is a cosine profile of half a period, reaching a maximum in the active core centre represented in hatching on </w:t>
      </w:r>
      <w:fldSimple w:instr=" REF _Ref411426090 \h  \* MERGEFORMAT ">
        <w:r w:rsidR="003B7F32" w:rsidRPr="009D7EED">
          <w:t xml:space="preserve">Figure </w:t>
        </w:r>
        <w:r w:rsidR="003B7F32">
          <w:t>21</w:t>
        </w:r>
      </w:fldSimple>
      <w:r w:rsidRPr="003C5002">
        <w:t xml:space="preserve">/b. However, the cosine reaches only </w:t>
      </w:r>
      <w:r w:rsidRPr="003C5002">
        <w:lastRenderedPageBreak/>
        <w:t xml:space="preserve">zero at 1.035 m and power is limited to this active height of 0.6 m. The final expression used to model the core heat source distribution is the following, given in W/m3: </w:t>
      </w:r>
    </w:p>
    <w:tbl>
      <w:tblPr>
        <w:tblW w:w="0" w:type="auto"/>
        <w:tblLook w:val="04A0"/>
      </w:tblPr>
      <w:tblGrid>
        <w:gridCol w:w="8330"/>
        <w:gridCol w:w="882"/>
      </w:tblGrid>
      <w:tr w:rsidR="007B3043" w:rsidRPr="003E737C" w:rsidTr="00264FB9">
        <w:tc>
          <w:tcPr>
            <w:tcW w:w="8330" w:type="dxa"/>
            <w:vAlign w:val="center"/>
          </w:tcPr>
          <w:p w:rsidR="007B3043" w:rsidRPr="007A7F61" w:rsidRDefault="00066E55" w:rsidP="00264FB9">
            <w:pPr>
              <w:spacing w:before="120" w:after="120"/>
            </w:pPr>
            <m:oMathPara>
              <m:oMath>
                <m:sSub>
                  <m:sSubPr>
                    <m:ctrlPr>
                      <w:rPr>
                        <w:rFonts w:ascii="Cambria Math" w:hAnsi="Cambria Math"/>
                        <w:i/>
                      </w:rPr>
                    </m:ctrlPr>
                  </m:sSubPr>
                  <m:e>
                    <m:r>
                      <w:rPr>
                        <w:rFonts w:ascii="Cambria Math" w:hAnsi="Cambria Math"/>
                      </w:rPr>
                      <m:t>Q</m:t>
                    </m:r>
                  </m:e>
                  <m:sub>
                    <m:r>
                      <w:rPr>
                        <w:rFonts w:ascii="Cambria Math" w:hAnsi="Cambria Math"/>
                      </w:rPr>
                      <m:t>core</m:t>
                    </m:r>
                  </m:sub>
                </m:sSub>
                <m:d>
                  <m:dPr>
                    <m:ctrlPr>
                      <w:rPr>
                        <w:rFonts w:ascii="Cambria Math" w:hAnsi="Cambria Math"/>
                        <w:i/>
                      </w:rPr>
                    </m:ctrlPr>
                  </m:dPr>
                  <m:e>
                    <m:r>
                      <w:rPr>
                        <w:rFonts w:ascii="Cambria Math" w:hAnsi="Cambria Math"/>
                      </w:rPr>
                      <m:t>r,y</m:t>
                    </m:r>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d>
                      <m:dPr>
                        <m:begChr m:val="["/>
                        <m:endChr m:val="]"/>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h</m:t>
                            </m:r>
                          </m:den>
                        </m:f>
                        <m:d>
                          <m:dPr>
                            <m:ctrlPr>
                              <w:rPr>
                                <w:rFonts w:ascii="Cambria Math" w:hAnsi="Cambria Math"/>
                                <w:i/>
                              </w:rPr>
                            </m:ctrlPr>
                          </m:dPr>
                          <m:e>
                            <m:r>
                              <w:rPr>
                                <w:rFonts w:ascii="Cambria Math" w:hAnsi="Cambria Math"/>
                              </w:rPr>
                              <m:t>y+</m:t>
                            </m:r>
                            <m:sSub>
                              <m:sSubPr>
                                <m:ctrlPr>
                                  <w:rPr>
                                    <w:rFonts w:ascii="Cambria Math" w:hAnsi="Cambria Math"/>
                                    <w:i/>
                                  </w:rPr>
                                </m:ctrlPr>
                              </m:sSubPr>
                              <m:e>
                                <m:r>
                                  <w:rPr>
                                    <w:rFonts w:ascii="Cambria Math" w:hAnsi="Cambria Math"/>
                                  </w:rPr>
                                  <m:t>h</m:t>
                                </m:r>
                              </m:e>
                              <m:sub>
                                <m:r>
                                  <w:rPr>
                                    <w:rFonts w:ascii="Cambria Math" w:hAnsi="Cambria Math"/>
                                  </w:rPr>
                                  <m:t>0</m:t>
                                </m:r>
                              </m:sub>
                            </m:sSub>
                          </m:e>
                        </m:d>
                      </m:e>
                    </m:d>
                  </m:e>
                </m:func>
                <m:r>
                  <w:rPr>
                    <w:rFonts w:ascii="Cambria Math" w:hAnsi="Cambria Math"/>
                  </w:rPr>
                  <m:t>f</m:t>
                </m:r>
                <m:d>
                  <m:dPr>
                    <m:ctrlPr>
                      <w:rPr>
                        <w:rFonts w:ascii="Cambria Math" w:hAnsi="Cambria Math"/>
                        <w:i/>
                      </w:rPr>
                    </m:ctrlPr>
                  </m:dPr>
                  <m:e>
                    <m:r>
                      <w:rPr>
                        <w:rFonts w:ascii="Cambria Math" w:hAnsi="Cambria Math"/>
                      </w:rPr>
                      <m:t>r</m:t>
                    </m:r>
                  </m:e>
                </m:d>
              </m:oMath>
            </m:oMathPara>
          </w:p>
        </w:tc>
        <w:tc>
          <w:tcPr>
            <w:tcW w:w="882" w:type="dxa"/>
            <w:vAlign w:val="center"/>
          </w:tcPr>
          <w:p w:rsidR="007B3043" w:rsidRPr="003E737C" w:rsidRDefault="007B3043" w:rsidP="00264FB9">
            <w:pPr>
              <w:pStyle w:val="Caption"/>
              <w:rPr>
                <w:rFonts w:cstheme="minorHAnsi"/>
                <w:b/>
                <w:color w:val="000000" w:themeColor="text1"/>
                <w:szCs w:val="22"/>
              </w:rPr>
            </w:pPr>
            <w:r w:rsidRPr="003E737C">
              <w:rPr>
                <w:rFonts w:cstheme="minorHAnsi"/>
                <w:color w:val="000000" w:themeColor="text1"/>
                <w:szCs w:val="22"/>
              </w:rPr>
              <w:t>(</w:t>
            </w:r>
            <w:r w:rsidR="00066E55" w:rsidRPr="003E737C">
              <w:rPr>
                <w:rFonts w:cstheme="minorHAnsi"/>
                <w:b/>
                <w:color w:val="000000" w:themeColor="text1"/>
                <w:szCs w:val="22"/>
              </w:rPr>
              <w:fldChar w:fldCharType="begin"/>
            </w:r>
            <w:r w:rsidRPr="003E737C">
              <w:rPr>
                <w:rFonts w:cstheme="minorHAnsi"/>
                <w:color w:val="000000" w:themeColor="text1"/>
                <w:szCs w:val="22"/>
              </w:rPr>
              <w:instrText xml:space="preserve"> SEQ 1. \* ARABIC </w:instrText>
            </w:r>
            <w:r w:rsidR="00066E55" w:rsidRPr="003E737C">
              <w:rPr>
                <w:rFonts w:cstheme="minorHAnsi"/>
                <w:b/>
                <w:color w:val="000000" w:themeColor="text1"/>
                <w:szCs w:val="22"/>
              </w:rPr>
              <w:fldChar w:fldCharType="separate"/>
            </w:r>
            <w:r w:rsidR="003B7F32">
              <w:rPr>
                <w:rFonts w:cstheme="minorHAnsi"/>
                <w:noProof/>
                <w:color w:val="000000" w:themeColor="text1"/>
                <w:szCs w:val="22"/>
              </w:rPr>
              <w:t>4</w:t>
            </w:r>
            <w:r w:rsidR="00066E55" w:rsidRPr="003E737C">
              <w:rPr>
                <w:rFonts w:cstheme="minorHAnsi"/>
                <w:b/>
                <w:color w:val="000000" w:themeColor="text1"/>
                <w:szCs w:val="22"/>
              </w:rPr>
              <w:fldChar w:fldCharType="end"/>
            </w:r>
            <w:r w:rsidRPr="003E737C">
              <w:rPr>
                <w:rFonts w:cstheme="minorHAnsi"/>
                <w:color w:val="000000" w:themeColor="text1"/>
                <w:szCs w:val="22"/>
              </w:rPr>
              <w:t>)</w:t>
            </w:r>
          </w:p>
        </w:tc>
      </w:tr>
    </w:tbl>
    <w:p w:rsidR="007B3043" w:rsidRDefault="007B3043" w:rsidP="003C5002">
      <w:pPr>
        <w:pStyle w:val="BodyText"/>
      </w:pPr>
      <w:r w:rsidRPr="003C5002">
        <w:t>Where h is the active fuel length, h</w:t>
      </w:r>
      <w:r w:rsidR="006E78A7" w:rsidRPr="003C5002">
        <w:t>0</w:t>
      </w:r>
      <w:r w:rsidRPr="003C5002">
        <w:t xml:space="preserve"> is the projected initial of the cosine fitting and f(r) represents the radial distribution of the produced heat. This function is a quadratic function of the radius obtained such that the total energy of the core results in the nominal 100 MW.</w:t>
      </w:r>
      <w:r>
        <w:t xml:space="preserve"> </w:t>
      </w:r>
    </w:p>
    <w:p w:rsidR="00393432" w:rsidRPr="00393432" w:rsidRDefault="007B3043" w:rsidP="00393432">
      <w:pPr>
        <w:pStyle w:val="Heading3"/>
      </w:pPr>
      <w:bookmarkStart w:id="41" w:name="_Toc478990086"/>
      <w:r w:rsidRPr="009B747E">
        <w:t>Barrel</w:t>
      </w:r>
      <w:r w:rsidRPr="00267E4D">
        <w:t xml:space="preserve"> and above core structure simulation</w:t>
      </w:r>
      <w:bookmarkEnd w:id="41"/>
    </w:p>
    <w:p w:rsidR="007B3043" w:rsidRPr="00BE76AA" w:rsidRDefault="007B3043" w:rsidP="00BE76AA">
      <w:pPr>
        <w:pStyle w:val="BodyText"/>
      </w:pPr>
      <w:r w:rsidRPr="00BE76AA">
        <w:t>The barrel is an integral part of the core support structure, CSS, and is located in the centre of the reactor. It guides the LBE flow from the outlet of the core to the upper (hot) plenum HP through 11 rows of ten 200 mm holes. The barrel surrounds the above core structure, ACS, containing a number of guide tubes and instrumentation tubes. The holes insure the mixing of the LBE as it passes from the core into the Hot Plenum. However, the original CAD has been modified for the single phase simulation to match the numerical domain where the LBE is present, delimited by the free-surface level, positioned in the middle of the 7</w:t>
      </w:r>
      <w:r w:rsidR="006E78A7" w:rsidRPr="00BE76AA">
        <w:t>th</w:t>
      </w:r>
      <w:r w:rsidRPr="00BE76AA">
        <w:t xml:space="preserve"> row of barrel holes (starting from the bottom). Therefore, the geometry was cut at exactly this level, omitting the upper part, as shown in </w:t>
      </w:r>
      <w:fldSimple w:instr=" REF _Ref411427137 \h  \* MERGEFORMAT ">
        <w:r w:rsidR="003B7F32" w:rsidRPr="009D7EED">
          <w:t xml:space="preserve">Figure </w:t>
        </w:r>
        <w:r w:rsidR="003B7F32">
          <w:t>22</w:t>
        </w:r>
      </w:fldSimple>
      <w:r w:rsidRPr="00BE76AA">
        <w:t xml:space="preserve"> a).</w:t>
      </w:r>
    </w:p>
    <w:p w:rsidR="007B3043" w:rsidRDefault="007B3043" w:rsidP="00037A15">
      <w:pPr>
        <w:keepNext/>
        <w:spacing w:before="120" w:after="120"/>
        <w:jc w:val="center"/>
      </w:pPr>
      <w:r w:rsidRPr="007A1507">
        <w:rPr>
          <w:noProof/>
          <w:lang w:eastAsia="en-GB"/>
        </w:rPr>
        <w:drawing>
          <wp:inline distT="0" distB="0" distL="0" distR="0">
            <wp:extent cx="2690813" cy="1598967"/>
            <wp:effectExtent l="19050" t="0" r="0" b="0"/>
            <wp:docPr id="301058" name="Picture 12" descr="Barrel+ACS_free-sur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l+ACS_free-surfs.png"/>
                    <pic:cNvPicPr/>
                  </pic:nvPicPr>
                  <pic:blipFill>
                    <a:blip r:embed="rId62" cstate="print"/>
                    <a:stretch>
                      <a:fillRect/>
                    </a:stretch>
                  </pic:blipFill>
                  <pic:spPr>
                    <a:xfrm>
                      <a:off x="0" y="0"/>
                      <a:ext cx="2692067" cy="1599712"/>
                    </a:xfrm>
                    <a:prstGeom prst="rect">
                      <a:avLst/>
                    </a:prstGeom>
                  </pic:spPr>
                </pic:pic>
              </a:graphicData>
            </a:graphic>
          </wp:inline>
        </w:drawing>
      </w:r>
    </w:p>
    <w:p w:rsidR="007B3043" w:rsidRPr="009D7EED" w:rsidRDefault="007B3043" w:rsidP="00037A15">
      <w:pPr>
        <w:pStyle w:val="Caption"/>
        <w:spacing w:after="120" w:line="240" w:lineRule="auto"/>
        <w:jc w:val="center"/>
      </w:pPr>
      <w:bookmarkStart w:id="42" w:name="_Ref411427137"/>
      <w:r w:rsidRPr="009D7EED">
        <w:t xml:space="preserve">Figure </w:t>
      </w:r>
      <w:r w:rsidR="00066E55">
        <w:fldChar w:fldCharType="begin"/>
      </w:r>
      <w:r w:rsidR="0077354E">
        <w:instrText xml:space="preserve"> SEQ Figure \* ARABIC </w:instrText>
      </w:r>
      <w:r w:rsidR="00066E55">
        <w:fldChar w:fldCharType="separate"/>
      </w:r>
      <w:r w:rsidR="003B7F32">
        <w:rPr>
          <w:noProof/>
        </w:rPr>
        <w:t>22</w:t>
      </w:r>
      <w:r w:rsidR="00066E55">
        <w:rPr>
          <w:noProof/>
        </w:rPr>
        <w:fldChar w:fldCharType="end"/>
      </w:r>
      <w:bookmarkEnd w:id="42"/>
      <w:r w:rsidRPr="009D7EED">
        <w:t>: a) Porous media representation of the ACS b) Hot plenum and barrel free-surfaces</w:t>
      </w:r>
    </w:p>
    <w:p w:rsidR="007B3043" w:rsidRDefault="007B3043" w:rsidP="007B3043">
      <w:pPr>
        <w:jc w:val="both"/>
        <w:rPr>
          <w:shd w:val="clear" w:color="auto" w:fill="FFFFFF"/>
        </w:rPr>
      </w:pPr>
    </w:p>
    <w:p w:rsidR="007B3043" w:rsidRPr="00BE76AA" w:rsidRDefault="007B3043" w:rsidP="00BE76AA">
      <w:pPr>
        <w:pStyle w:val="BodyText"/>
      </w:pPr>
      <w:r w:rsidRPr="00BE76AA">
        <w:t xml:space="preserve">Once again the porous media approach is used to model the region inside the barrel. At intermediate positions along the Above Core Structure, two grids guide the In-Pile Section, Control Rod and Scram Rod tubes into the core. </w:t>
      </w:r>
      <w:r w:rsidR="001B18C2" w:rsidRPr="00BE76AA">
        <w:t xml:space="preserve">They </w:t>
      </w:r>
      <w:r w:rsidRPr="00BE76AA">
        <w:t xml:space="preserve">are </w:t>
      </w:r>
      <w:proofErr w:type="spellStart"/>
      <w:r w:rsidRPr="00BE76AA">
        <w:t>modeled</w:t>
      </w:r>
      <w:proofErr w:type="spellEnd"/>
      <w:r w:rsidRPr="00BE76AA">
        <w:t xml:space="preserve"> as separate porous zones through which the axial pressure drop is estimated. However, from the free level of LBE to just above the outlet nozzles of the fuel assemblies, the Above Core Structure is a much more open structure, also </w:t>
      </w:r>
      <w:proofErr w:type="spellStart"/>
      <w:r w:rsidRPr="00BE76AA">
        <w:t>modeled</w:t>
      </w:r>
      <w:proofErr w:type="spellEnd"/>
      <w:r w:rsidRPr="00BE76AA">
        <w:t xml:space="preserve"> as a porous media. Derivation of porous media properties of the Above Core Structure were based on the book: Nuclear Systems by </w:t>
      </w:r>
      <w:proofErr w:type="spellStart"/>
      <w:r w:rsidRPr="00BE76AA">
        <w:t>Todreas</w:t>
      </w:r>
      <w:proofErr w:type="spellEnd"/>
      <w:r w:rsidRPr="00BE76AA">
        <w:t xml:space="preserve"> and </w:t>
      </w:r>
      <w:proofErr w:type="spellStart"/>
      <w:r w:rsidRPr="00BE76AA">
        <w:t>Kazimi</w:t>
      </w:r>
      <w:proofErr w:type="spellEnd"/>
      <w:r w:rsidRPr="00BE76AA">
        <w:t xml:space="preserve"> [</w:t>
      </w:r>
      <w:r w:rsidR="00066E55">
        <w:fldChar w:fldCharType="begin"/>
      </w:r>
      <w:r w:rsidR="00BE76AA">
        <w:instrText xml:space="preserve"> REF _Ref478718256 \r \h </w:instrText>
      </w:r>
      <w:r w:rsidR="00066E55">
        <w:fldChar w:fldCharType="separate"/>
      </w:r>
      <w:r w:rsidR="003B7F32">
        <w:t>9</w:t>
      </w:r>
      <w:r w:rsidR="00066E55">
        <w:fldChar w:fldCharType="end"/>
      </w:r>
      <w:r w:rsidRPr="00BE76AA">
        <w:t xml:space="preserve">]. By taking into account the presence of all guiding tubes, a porosity of 0.91 is calculated. The LBE free-surface of the HP is highlighted in yellow in </w:t>
      </w:r>
      <w:fldSimple w:instr=" REF _Ref411427137 \h  \* MERGEFORMAT ">
        <w:r w:rsidR="003B7F32" w:rsidRPr="009D7EED">
          <w:t xml:space="preserve">Figure </w:t>
        </w:r>
        <w:r w:rsidR="003B7F32">
          <w:t>22</w:t>
        </w:r>
      </w:fldSimple>
      <w:r w:rsidRPr="00BE76AA">
        <w:t xml:space="preserve"> b). As introduced previously, in the single phase full power simulation the free surfaces are approximated by a </w:t>
      </w:r>
      <w:r w:rsidRPr="00BE76AA">
        <w:lastRenderedPageBreak/>
        <w:t>free slip condition since their level is not expected to vary much at steady state. In addition, the hot plenum (HP) and barrel region free-surface levels are approximated to be at the same height, although a slight difference exists in reality.</w:t>
      </w:r>
    </w:p>
    <w:p w:rsidR="007B3043" w:rsidRDefault="007B3043" w:rsidP="007B3043">
      <w:pPr>
        <w:pStyle w:val="BodyText3"/>
        <w:rPr>
          <w:sz w:val="22"/>
          <w:szCs w:val="22"/>
        </w:rPr>
      </w:pPr>
    </w:p>
    <w:p w:rsidR="007B3043" w:rsidRPr="0017399D" w:rsidRDefault="007B3043" w:rsidP="0017399D">
      <w:pPr>
        <w:pStyle w:val="Heading3"/>
      </w:pPr>
      <w:bookmarkStart w:id="43" w:name="_Toc478990087"/>
      <w:r w:rsidRPr="0017399D">
        <w:t>Porous media approach in the primary heat exchangers</w:t>
      </w:r>
      <w:bookmarkEnd w:id="43"/>
    </w:p>
    <w:p w:rsidR="007B3043" w:rsidRDefault="007B3043" w:rsidP="00BE76AA">
      <w:pPr>
        <w:pStyle w:val="BodyText"/>
      </w:pPr>
      <w:r w:rsidRPr="00BE76AA">
        <w:t xml:space="preserve">After having collected the heat from the nuclear reaction, the hot LBE in the Hot Plenum is aspirated by the pumps into the four heat exchangers. There, the heat is transferred to the secondary coolant which is a mixture of liquid and steam water like in most nuclear power plants. The type of heat exchanger is a counter-current flow heat exchanger with straight tubes. The Heat Exchanger design is shown in </w:t>
      </w:r>
      <w:fldSimple w:instr=" REF _Ref411435952 \h  \* MERGEFORMAT ">
        <w:r w:rsidR="003B7F32" w:rsidRPr="009D7EED">
          <w:t xml:space="preserve">Figure </w:t>
        </w:r>
        <w:r w:rsidR="003B7F32">
          <w:t>23</w:t>
        </w:r>
      </w:fldSimple>
      <w:r w:rsidRPr="00BE76AA">
        <w:t xml:space="preserve"> a). The LBE is flowing outside the water tubes downwards, while the two-phase water is flowing upwards. In normal operation, the HX’s have to remove the power generated by the reactor core and all of the other heat sources (e.g. spent fuel, pumps). Therefore, it was designed to extract 110 % of the nominal core power to take all of these into account. The number and dimensions of the water tubes should therefore be sufficient for the Heat Exchanger to extract 27.5 MW. Each Heat Exchanger consists of 684 water tubes with an external diameter of 16 mm. In the CFD model however, the Heat Exchanger is simplified using the porous media approach which avoids having to represent the hundreds of water tubes. Only the feed water pipe in the centre is represented and subtracted from the numerical domain as the secondary circuit is not </w:t>
      </w:r>
      <w:proofErr w:type="spellStart"/>
      <w:r w:rsidRPr="00BE76AA">
        <w:t>modeled</w:t>
      </w:r>
      <w:proofErr w:type="spellEnd"/>
      <w:r w:rsidRPr="00BE76AA">
        <w:t xml:space="preserve">. Based on the cross-sectional area occupied by </w:t>
      </w:r>
      <w:r w:rsidR="007D773D" w:rsidRPr="00BE76AA">
        <w:t xml:space="preserve">the </w:t>
      </w:r>
      <w:r w:rsidRPr="00BE76AA">
        <w:t>water tubes, the porosity is calculated. As previously, the theoretical average velocity allows us to estimate the pressure losses</w:t>
      </w:r>
      <w:r w:rsidR="00BE76AA">
        <w:t xml:space="preserve"> with Handbook correlations [</w:t>
      </w:r>
      <w:r w:rsidR="00066E55">
        <w:fldChar w:fldCharType="begin"/>
      </w:r>
      <w:r w:rsidR="00BE76AA">
        <w:instrText xml:space="preserve"> REF _Ref478718094 \r \h </w:instrText>
      </w:r>
      <w:r w:rsidR="00066E55">
        <w:fldChar w:fldCharType="separate"/>
      </w:r>
      <w:r w:rsidR="003B7F32">
        <w:t>14</w:t>
      </w:r>
      <w:r w:rsidR="00066E55">
        <w:fldChar w:fldCharType="end"/>
      </w:r>
      <w:r w:rsidRPr="00BE76AA">
        <w:t xml:space="preserve">], which in turn provide us with the inertial resistance coefficients (Equation 7). As observed in </w:t>
      </w:r>
      <w:fldSimple w:instr=" REF _Ref411435952 \h  \* MERGEFORMAT ">
        <w:r w:rsidR="003B7F32" w:rsidRPr="009D7EED">
          <w:t xml:space="preserve">Figure </w:t>
        </w:r>
        <w:r w:rsidR="003B7F32">
          <w:t>23</w:t>
        </w:r>
      </w:fldSimple>
      <w:r w:rsidRPr="00BE76AA">
        <w:t xml:space="preserve"> b), the porous media (in blue) occupies all of the interior volume of the Heat Exchanger, except the feed water line, which is taken into account as solid surface (in red). Also here the simulation domain is limited by the height of the LBE free-surface level.</w:t>
      </w:r>
    </w:p>
    <w:p w:rsidR="007B3043" w:rsidRPr="00BE76AA" w:rsidRDefault="007B3043" w:rsidP="00BE76AA">
      <w:pPr>
        <w:pStyle w:val="BodyText"/>
      </w:pPr>
      <w:r w:rsidRPr="00BE76AA">
        <w:t xml:space="preserve">The heat transfer between the primary and secondary coolant is represented in the CFD model by a variable heat sink located in the Heat Exchanger porous zone. The heat transfer correlation derived by </w:t>
      </w:r>
      <w:proofErr w:type="spellStart"/>
      <w:r w:rsidRPr="00BE76AA">
        <w:t>Ushakov</w:t>
      </w:r>
      <w:proofErr w:type="spellEnd"/>
      <w:r w:rsidRPr="00BE76AA">
        <w:t xml:space="preserve"> [</w:t>
      </w:r>
      <w:r w:rsidR="00066E55">
        <w:fldChar w:fldCharType="begin"/>
      </w:r>
      <w:r w:rsidR="00BE76AA">
        <w:instrText xml:space="preserve"> REF _Ref478718309 \r \h </w:instrText>
      </w:r>
      <w:r w:rsidR="00066E55">
        <w:fldChar w:fldCharType="separate"/>
      </w:r>
      <w:r w:rsidR="003B7F32">
        <w:t>10</w:t>
      </w:r>
      <w:r w:rsidR="00066E55">
        <w:fldChar w:fldCharType="end"/>
      </w:r>
      <w:r w:rsidRPr="00BE76AA">
        <w:t>] for liquid metal</w:t>
      </w:r>
      <w:r w:rsidR="009D5D78" w:rsidRPr="00BE76AA">
        <w:t>s</w:t>
      </w:r>
      <w:r w:rsidRPr="00BE76AA">
        <w:t xml:space="preserve"> and recommended for rod bundles in a triangular or hexagonal arrangement is used. The following expression for the </w:t>
      </w:r>
      <w:proofErr w:type="spellStart"/>
      <w:r w:rsidRPr="00BE76AA">
        <w:t>Nusselt</w:t>
      </w:r>
      <w:proofErr w:type="spellEnd"/>
      <w:r w:rsidRPr="00BE76AA">
        <w:t xml:space="preserve"> number </w:t>
      </w:r>
      <m:oMath>
        <m:r>
          <m:rPr>
            <m:sty m:val="p"/>
          </m:rPr>
          <w:rPr>
            <w:rFonts w:ascii="Cambria Math" w:hAnsi="Cambria Math"/>
          </w:rPr>
          <m:t>Nu</m:t>
        </m:r>
      </m:oMath>
      <w:r w:rsidRPr="00BE76AA">
        <w:t xml:space="preserve"> is applied:  </w:t>
      </w:r>
    </w:p>
    <w:tbl>
      <w:tblPr>
        <w:tblW w:w="0" w:type="auto"/>
        <w:tblLook w:val="04A0"/>
      </w:tblPr>
      <w:tblGrid>
        <w:gridCol w:w="8330"/>
        <w:gridCol w:w="882"/>
      </w:tblGrid>
      <w:tr w:rsidR="007B3043" w:rsidRPr="003E737C" w:rsidTr="00264FB9">
        <w:tc>
          <w:tcPr>
            <w:tcW w:w="8330" w:type="dxa"/>
            <w:vAlign w:val="center"/>
          </w:tcPr>
          <w:p w:rsidR="007B3043" w:rsidRPr="007A7F61" w:rsidRDefault="007B3043" w:rsidP="00264FB9">
            <w:pPr>
              <w:spacing w:before="120" w:after="120"/>
            </w:pPr>
            <m:oMathPara>
              <m:oMath>
                <m:r>
                  <w:rPr>
                    <w:rFonts w:ascii="Cambria Math" w:hAnsi="Cambria Math"/>
                  </w:rPr>
                  <m:t>Nu=7.55</m:t>
                </m:r>
                <m:f>
                  <m:fPr>
                    <m:ctrlPr>
                      <w:rPr>
                        <w:rFonts w:ascii="Cambria Math" w:hAnsi="Cambria Math"/>
                        <w:i/>
                      </w:rPr>
                    </m:ctrlPr>
                  </m:fPr>
                  <m:num>
                    <m:r>
                      <w:rPr>
                        <w:rFonts w:ascii="Cambria Math" w:hAnsi="Cambria Math"/>
                      </w:rPr>
                      <m:t>P</m:t>
                    </m:r>
                  </m:num>
                  <m:den>
                    <m:r>
                      <w:rPr>
                        <w:rFonts w:ascii="Cambria Math" w:hAnsi="Cambria Math"/>
                      </w:rPr>
                      <m:t>D</m:t>
                    </m:r>
                  </m:den>
                </m:f>
                <m:r>
                  <w:rPr>
                    <w:rFonts w:ascii="Cambria Math" w:hAnsi="Cambria Math"/>
                  </w:rPr>
                  <m:t>-20</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P</m:t>
                            </m:r>
                          </m:num>
                          <m:den>
                            <m:r>
                              <w:rPr>
                                <w:rFonts w:ascii="Cambria Math" w:hAnsi="Cambria Math"/>
                              </w:rPr>
                              <m:t>D</m:t>
                            </m:r>
                          </m:den>
                        </m:f>
                      </m:e>
                    </m:d>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3.67</m:t>
                    </m:r>
                  </m:num>
                  <m:den>
                    <m:r>
                      <w:rPr>
                        <w:rFonts w:ascii="Cambria Math" w:hAnsi="Cambria Math"/>
                      </w:rPr>
                      <m:t>90</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r>
                                  <w:rPr>
                                    <w:rFonts w:ascii="Cambria Math" w:hAnsi="Cambria Math"/>
                                  </w:rPr>
                                  <m:t>P</m:t>
                                </m:r>
                              </m:num>
                              <m:den>
                                <m:r>
                                  <w:rPr>
                                    <w:rFonts w:ascii="Cambria Math" w:hAnsi="Cambria Math"/>
                                  </w:rPr>
                                  <m:t>D</m:t>
                                </m:r>
                              </m:den>
                            </m:f>
                          </m:e>
                        </m:d>
                      </m:e>
                      <m:sup>
                        <m:r>
                          <w:rPr>
                            <w:rFonts w:ascii="Cambria Math" w:hAnsi="Cambria Math"/>
                          </w:rPr>
                          <m:t>2</m:t>
                        </m:r>
                      </m:sup>
                    </m:sSup>
                  </m:den>
                </m:f>
                <m:sSup>
                  <m:sSupPr>
                    <m:ctrlPr>
                      <w:rPr>
                        <w:rFonts w:ascii="Cambria Math" w:hAnsi="Cambria Math"/>
                        <w:i/>
                      </w:rPr>
                    </m:ctrlPr>
                  </m:sSupPr>
                  <m:e>
                    <m:r>
                      <w:rPr>
                        <w:rFonts w:ascii="Cambria Math" w:hAnsi="Cambria Math"/>
                      </w:rPr>
                      <m:t>Pe</m:t>
                    </m:r>
                  </m:e>
                  <m:sup>
                    <m:d>
                      <m:dPr>
                        <m:ctrlPr>
                          <w:rPr>
                            <w:rFonts w:ascii="Cambria Math" w:hAnsi="Cambria Math"/>
                            <w:i/>
                          </w:rPr>
                        </m:ctrlPr>
                      </m:dPr>
                      <m:e>
                        <m:r>
                          <w:rPr>
                            <w:rFonts w:ascii="Cambria Math" w:hAnsi="Cambria Math"/>
                          </w:rPr>
                          <m:t>0.19</m:t>
                        </m:r>
                        <m:f>
                          <m:fPr>
                            <m:ctrlPr>
                              <w:rPr>
                                <w:rFonts w:ascii="Cambria Math" w:hAnsi="Cambria Math"/>
                                <w:i/>
                              </w:rPr>
                            </m:ctrlPr>
                          </m:fPr>
                          <m:num>
                            <m:r>
                              <w:rPr>
                                <w:rFonts w:ascii="Cambria Math" w:hAnsi="Cambria Math"/>
                              </w:rPr>
                              <m:t>P</m:t>
                            </m:r>
                          </m:num>
                          <m:den>
                            <m:r>
                              <w:rPr>
                                <w:rFonts w:ascii="Cambria Math" w:hAnsi="Cambria Math"/>
                              </w:rPr>
                              <m:t>D</m:t>
                            </m:r>
                          </m:den>
                        </m:f>
                        <m:r>
                          <w:rPr>
                            <w:rFonts w:ascii="Cambria Math" w:hAnsi="Cambria Math"/>
                          </w:rPr>
                          <m:t>+0.56</m:t>
                        </m:r>
                      </m:e>
                    </m:d>
                  </m:sup>
                </m:sSup>
              </m:oMath>
            </m:oMathPara>
          </w:p>
        </w:tc>
        <w:tc>
          <w:tcPr>
            <w:tcW w:w="882" w:type="dxa"/>
            <w:vAlign w:val="center"/>
          </w:tcPr>
          <w:p w:rsidR="007B3043" w:rsidRPr="003E737C" w:rsidRDefault="007B3043" w:rsidP="00264FB9">
            <w:pPr>
              <w:pStyle w:val="Caption"/>
              <w:rPr>
                <w:rFonts w:cstheme="minorHAnsi"/>
                <w:b/>
                <w:color w:val="000000" w:themeColor="text1"/>
                <w:szCs w:val="22"/>
              </w:rPr>
            </w:pPr>
            <w:r w:rsidRPr="003E737C">
              <w:rPr>
                <w:rFonts w:cstheme="minorHAnsi"/>
                <w:color w:val="000000" w:themeColor="text1"/>
                <w:szCs w:val="22"/>
              </w:rPr>
              <w:t>(</w:t>
            </w:r>
            <w:r w:rsidR="00066E55" w:rsidRPr="003E737C">
              <w:rPr>
                <w:rFonts w:cstheme="minorHAnsi"/>
                <w:b/>
                <w:color w:val="000000" w:themeColor="text1"/>
                <w:szCs w:val="22"/>
              </w:rPr>
              <w:fldChar w:fldCharType="begin"/>
            </w:r>
            <w:r w:rsidRPr="003E737C">
              <w:rPr>
                <w:rFonts w:cstheme="minorHAnsi"/>
                <w:color w:val="000000" w:themeColor="text1"/>
                <w:szCs w:val="22"/>
              </w:rPr>
              <w:instrText xml:space="preserve"> SEQ 1. \* ARABIC </w:instrText>
            </w:r>
            <w:r w:rsidR="00066E55" w:rsidRPr="003E737C">
              <w:rPr>
                <w:rFonts w:cstheme="minorHAnsi"/>
                <w:b/>
                <w:color w:val="000000" w:themeColor="text1"/>
                <w:szCs w:val="22"/>
              </w:rPr>
              <w:fldChar w:fldCharType="separate"/>
            </w:r>
            <w:r w:rsidR="003B7F32">
              <w:rPr>
                <w:rFonts w:cstheme="minorHAnsi"/>
                <w:noProof/>
                <w:color w:val="000000" w:themeColor="text1"/>
                <w:szCs w:val="22"/>
              </w:rPr>
              <w:t>5</w:t>
            </w:r>
            <w:r w:rsidR="00066E55" w:rsidRPr="003E737C">
              <w:rPr>
                <w:rFonts w:cstheme="minorHAnsi"/>
                <w:b/>
                <w:color w:val="000000" w:themeColor="text1"/>
                <w:szCs w:val="22"/>
              </w:rPr>
              <w:fldChar w:fldCharType="end"/>
            </w:r>
            <w:r w:rsidRPr="003E737C">
              <w:rPr>
                <w:rFonts w:cstheme="minorHAnsi"/>
                <w:color w:val="000000" w:themeColor="text1"/>
                <w:szCs w:val="22"/>
              </w:rPr>
              <w:t>)</w:t>
            </w:r>
          </w:p>
        </w:tc>
      </w:tr>
    </w:tbl>
    <w:p w:rsidR="007B3043" w:rsidRPr="00BE76AA" w:rsidRDefault="007B3043" w:rsidP="00BE76AA">
      <w:pPr>
        <w:pStyle w:val="BodyText"/>
      </w:pPr>
      <w:r w:rsidRPr="00BE76AA">
        <w:t>As described by equation (</w:t>
      </w:r>
      <w:r w:rsidR="009D5D78" w:rsidRPr="00BE76AA">
        <w:t>5</w:t>
      </w:r>
      <w:r w:rsidRPr="00BE76AA">
        <w:t xml:space="preserve">), the heat transfer that occurs at the water tube boundary will depend on the pitch to diameter ratio </w:t>
      </w:r>
      <m:oMath>
        <m:f>
          <m:fPr>
            <m:type m:val="lin"/>
            <m:ctrlPr>
              <w:rPr>
                <w:rFonts w:ascii="Cambria Math" w:hAnsi="Cambria Math"/>
              </w:rPr>
            </m:ctrlPr>
          </m:fPr>
          <m:num>
            <m:r>
              <m:rPr>
                <m:sty m:val="p"/>
              </m:rPr>
              <w:rPr>
                <w:rFonts w:ascii="Cambria Math" w:hAnsi="Cambria Math"/>
              </w:rPr>
              <m:t>P</m:t>
            </m:r>
          </m:num>
          <m:den>
            <m:r>
              <m:rPr>
                <m:sty m:val="p"/>
              </m:rPr>
              <w:rPr>
                <w:rFonts w:ascii="Cambria Math" w:hAnsi="Cambria Math"/>
              </w:rPr>
              <m:t>D</m:t>
            </m:r>
          </m:den>
        </m:f>
      </m:oMath>
      <w:r w:rsidRPr="00BE76AA">
        <w:t xml:space="preserve"> and the Peclet number</w:t>
      </w:r>
      <w:proofErr w:type="gramStart"/>
      <w:r w:rsidRPr="00BE76AA">
        <w:t xml:space="preserve">, </w:t>
      </w:r>
      <m:oMath>
        <w:proofErr w:type="gramEnd"/>
        <m:r>
          <m:rPr>
            <m:sty m:val="p"/>
          </m:rPr>
          <w:rPr>
            <w:rFonts w:ascii="Cambria Math" w:hAnsi="Cambria Math"/>
          </w:rPr>
          <m:t>Pe</m:t>
        </m:r>
      </m:oMath>
      <w:r w:rsidRPr="00BE76AA">
        <w:t xml:space="preserve">. The latter is related to the Reynolds number </w:t>
      </w:r>
      <m:oMath>
        <m:r>
          <m:rPr>
            <m:sty m:val="p"/>
          </m:rPr>
          <w:rPr>
            <w:rFonts w:ascii="Cambria Math" w:hAnsi="Cambria Math"/>
          </w:rPr>
          <m:t>Re</m:t>
        </m:r>
      </m:oMath>
      <w:r w:rsidRPr="00BE76AA">
        <w:t xml:space="preserve"> and the Prandtl number</w:t>
      </w:r>
      <w:proofErr w:type="gramStart"/>
      <w:r w:rsidRPr="00BE76AA">
        <w:t xml:space="preserve">, </w:t>
      </w:r>
      <m:oMath>
        <w:proofErr w:type="gramEnd"/>
        <m:r>
          <m:rPr>
            <m:sty m:val="p"/>
          </m:rPr>
          <w:rPr>
            <w:rFonts w:ascii="Cambria Math" w:hAnsi="Cambria Math"/>
          </w:rPr>
          <m:t>Pr</m:t>
        </m:r>
      </m:oMath>
      <w:r w:rsidRPr="00BE76AA">
        <w:t>, such that:</w:t>
      </w:r>
    </w:p>
    <w:tbl>
      <w:tblPr>
        <w:tblW w:w="0" w:type="auto"/>
        <w:tblLook w:val="04A0"/>
      </w:tblPr>
      <w:tblGrid>
        <w:gridCol w:w="8330"/>
        <w:gridCol w:w="882"/>
      </w:tblGrid>
      <w:tr w:rsidR="007B3043" w:rsidRPr="003E737C" w:rsidTr="00264FB9">
        <w:tc>
          <w:tcPr>
            <w:tcW w:w="8330" w:type="dxa"/>
            <w:vAlign w:val="center"/>
          </w:tcPr>
          <w:p w:rsidR="007B3043" w:rsidRPr="007A7F61" w:rsidRDefault="007B3043" w:rsidP="00264FB9">
            <w:pPr>
              <w:spacing w:before="120" w:after="120"/>
            </w:pPr>
            <m:oMathPara>
              <m:oMath>
                <m:r>
                  <w:rPr>
                    <w:rFonts w:ascii="Cambria Math" w:hAnsi="Cambria Math"/>
                  </w:rPr>
                  <w:lastRenderedPageBreak/>
                  <m:t>Pe=Re.Pr,   with:  Re=</m:t>
                </m:r>
                <m:f>
                  <m:fPr>
                    <m:ctrlPr>
                      <w:rPr>
                        <w:rFonts w:ascii="Cambria Math" w:hAnsi="Cambria Math"/>
                        <w:i/>
                      </w:rPr>
                    </m:ctrlPr>
                  </m:fPr>
                  <m:num>
                    <m:r>
                      <w:rPr>
                        <w:rFonts w:ascii="Cambria Math" w:hAnsi="Cambria Math"/>
                      </w:rPr>
                      <m:t>ρ</m:t>
                    </m:r>
                    <m:sSub>
                      <m:sSubPr>
                        <m:ctrlPr>
                          <w:rPr>
                            <w:rFonts w:ascii="Cambria Math" w:hAnsi="Cambria Math"/>
                            <w:i/>
                          </w:rPr>
                        </m:ctrlPr>
                      </m:sSubPr>
                      <m:e>
                        <m:r>
                          <w:rPr>
                            <w:rFonts w:ascii="Cambria Math" w:hAnsi="Cambria Math"/>
                          </w:rPr>
                          <m:t>u</m:t>
                        </m:r>
                      </m:e>
                      <m:sub>
                        <m:r>
                          <w:rPr>
                            <w:rFonts w:ascii="Cambria Math" w:hAnsi="Cambria Math"/>
                          </w:rPr>
                          <m:t>magn</m:t>
                        </m:r>
                      </m:sub>
                    </m:sSub>
                    <m:sSub>
                      <m:sSubPr>
                        <m:ctrlPr>
                          <w:rPr>
                            <w:rFonts w:ascii="Cambria Math" w:hAnsi="Cambria Math"/>
                            <w:i/>
                          </w:rPr>
                        </m:ctrlPr>
                      </m:sSubPr>
                      <m:e>
                        <m:r>
                          <w:rPr>
                            <w:rFonts w:ascii="Cambria Math" w:hAnsi="Cambria Math"/>
                          </w:rPr>
                          <m:t>D</m:t>
                        </m:r>
                      </m:e>
                      <m:sub>
                        <m:r>
                          <w:rPr>
                            <w:rFonts w:ascii="Cambria Math" w:hAnsi="Cambria Math"/>
                          </w:rPr>
                          <m:t>H</m:t>
                        </m:r>
                      </m:sub>
                    </m:sSub>
                  </m:num>
                  <m:den>
                    <m:r>
                      <w:rPr>
                        <w:rFonts w:ascii="Cambria Math" w:hAnsi="Cambria Math"/>
                      </w:rPr>
                      <m:t>μ</m:t>
                    </m:r>
                  </m:den>
                </m:f>
                <m:r>
                  <w:rPr>
                    <w:rFonts w:ascii="Cambria Math" w:hAnsi="Cambria Math"/>
                  </w:rPr>
                  <m:t xml:space="preserve">    &amp;     Pr=</m:t>
                </m:r>
                <m:f>
                  <m:fPr>
                    <m:ctrlPr>
                      <w:rPr>
                        <w:rFonts w:ascii="Cambria Math" w:hAnsi="Cambria Math"/>
                        <w:i/>
                      </w:rPr>
                    </m:ctrlPr>
                  </m:fPr>
                  <m:num>
                    <m:r>
                      <w:rPr>
                        <w:rFonts w:ascii="Cambria Math" w:hAnsi="Cambria Math"/>
                      </w:rPr>
                      <m:t>μ</m:t>
                    </m:r>
                    <m:sSub>
                      <m:sSubPr>
                        <m:ctrlPr>
                          <w:rPr>
                            <w:rFonts w:ascii="Cambria Math" w:hAnsi="Cambria Math"/>
                            <w:i/>
                          </w:rPr>
                        </m:ctrlPr>
                      </m:sSubPr>
                      <m:e>
                        <m:r>
                          <w:rPr>
                            <w:rFonts w:ascii="Cambria Math" w:hAnsi="Cambria Math"/>
                          </w:rPr>
                          <m:t>C</m:t>
                        </m:r>
                      </m:e>
                      <m:sub>
                        <m:r>
                          <w:rPr>
                            <w:rFonts w:ascii="Cambria Math" w:hAnsi="Cambria Math"/>
                          </w:rPr>
                          <m:t>P</m:t>
                        </m:r>
                      </m:sub>
                    </m:sSub>
                  </m:num>
                  <m:den>
                    <m:r>
                      <w:rPr>
                        <w:rFonts w:ascii="Cambria Math" w:hAnsi="Cambria Math"/>
                      </w:rPr>
                      <m:t>λ</m:t>
                    </m:r>
                  </m:den>
                </m:f>
              </m:oMath>
            </m:oMathPara>
          </w:p>
        </w:tc>
        <w:tc>
          <w:tcPr>
            <w:tcW w:w="882" w:type="dxa"/>
            <w:vAlign w:val="center"/>
          </w:tcPr>
          <w:p w:rsidR="007B3043" w:rsidRPr="003E737C" w:rsidRDefault="007B3043" w:rsidP="00264FB9">
            <w:pPr>
              <w:pStyle w:val="Caption"/>
              <w:rPr>
                <w:rFonts w:cstheme="minorHAnsi"/>
                <w:b/>
                <w:color w:val="000000" w:themeColor="text1"/>
                <w:szCs w:val="22"/>
              </w:rPr>
            </w:pPr>
            <w:r w:rsidRPr="003E737C">
              <w:rPr>
                <w:rFonts w:cstheme="minorHAnsi"/>
                <w:color w:val="000000" w:themeColor="text1"/>
                <w:szCs w:val="22"/>
              </w:rPr>
              <w:t>(</w:t>
            </w:r>
            <w:r w:rsidR="00066E55" w:rsidRPr="003E737C">
              <w:rPr>
                <w:rFonts w:cstheme="minorHAnsi"/>
                <w:b/>
                <w:color w:val="000000" w:themeColor="text1"/>
                <w:szCs w:val="22"/>
              </w:rPr>
              <w:fldChar w:fldCharType="begin"/>
            </w:r>
            <w:r w:rsidRPr="003E737C">
              <w:rPr>
                <w:rFonts w:cstheme="minorHAnsi"/>
                <w:color w:val="000000" w:themeColor="text1"/>
                <w:szCs w:val="22"/>
              </w:rPr>
              <w:instrText xml:space="preserve"> SEQ 1. \* ARABIC </w:instrText>
            </w:r>
            <w:r w:rsidR="00066E55" w:rsidRPr="003E737C">
              <w:rPr>
                <w:rFonts w:cstheme="minorHAnsi"/>
                <w:b/>
                <w:color w:val="000000" w:themeColor="text1"/>
                <w:szCs w:val="22"/>
              </w:rPr>
              <w:fldChar w:fldCharType="separate"/>
            </w:r>
            <w:r w:rsidR="003B7F32">
              <w:rPr>
                <w:rFonts w:cstheme="minorHAnsi"/>
                <w:noProof/>
                <w:color w:val="000000" w:themeColor="text1"/>
                <w:szCs w:val="22"/>
              </w:rPr>
              <w:t>6</w:t>
            </w:r>
            <w:r w:rsidR="00066E55" w:rsidRPr="003E737C">
              <w:rPr>
                <w:rFonts w:cstheme="minorHAnsi"/>
                <w:b/>
                <w:color w:val="000000" w:themeColor="text1"/>
                <w:szCs w:val="22"/>
              </w:rPr>
              <w:fldChar w:fldCharType="end"/>
            </w:r>
            <w:r w:rsidRPr="003E737C">
              <w:rPr>
                <w:rFonts w:cstheme="minorHAnsi"/>
                <w:color w:val="000000" w:themeColor="text1"/>
                <w:szCs w:val="22"/>
              </w:rPr>
              <w:t>)</w:t>
            </w:r>
          </w:p>
        </w:tc>
      </w:tr>
    </w:tbl>
    <w:p w:rsidR="007B3043" w:rsidRPr="00BE76AA" w:rsidRDefault="007B3043" w:rsidP="00BE76AA">
      <w:pPr>
        <w:pStyle w:val="BodyText"/>
      </w:pPr>
      <w:r w:rsidRPr="00BE76AA">
        <w:t xml:space="preserve">In the simulation, the local velocity magnitude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magn</m:t>
            </m:r>
          </m:sub>
        </m:sSub>
      </m:oMath>
      <w:r w:rsidRPr="00BE76AA">
        <w:t xml:space="preserve"> is considered to calculate the local heat transfer described </w:t>
      </w:r>
      <w:proofErr w:type="gramStart"/>
      <w:r w:rsidRPr="00BE76AA">
        <w:t xml:space="preserve">by </w:t>
      </w:r>
      <m:oMath>
        <w:proofErr w:type="gramEnd"/>
        <m:r>
          <m:rPr>
            <m:sty m:val="p"/>
          </m:rPr>
          <w:rPr>
            <w:rFonts w:ascii="Cambria Math" w:hAnsi="Cambria Math"/>
          </w:rPr>
          <m:t>Nu</m:t>
        </m:r>
      </m:oMath>
      <w:r w:rsidRPr="00BE76AA">
        <w:t xml:space="preserve">. The latter is then used to determine the heat transfer coefficient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e</m:t>
            </m:r>
          </m:sub>
        </m:sSub>
      </m:oMath>
      <w:r w:rsidRPr="00BE76AA">
        <w:t xml:space="preserve"> on the LBE side, given by:</w:t>
      </w:r>
    </w:p>
    <w:tbl>
      <w:tblPr>
        <w:tblW w:w="0" w:type="auto"/>
        <w:tblLook w:val="04A0"/>
      </w:tblPr>
      <w:tblGrid>
        <w:gridCol w:w="8330"/>
        <w:gridCol w:w="882"/>
      </w:tblGrid>
      <w:tr w:rsidR="007B3043" w:rsidRPr="003E737C" w:rsidTr="00264FB9">
        <w:tc>
          <w:tcPr>
            <w:tcW w:w="8330" w:type="dxa"/>
            <w:vAlign w:val="center"/>
          </w:tcPr>
          <w:p w:rsidR="007B3043" w:rsidRPr="007A7F61" w:rsidRDefault="00066E55" w:rsidP="00264FB9">
            <w:pPr>
              <w:spacing w:before="120" w:after="120"/>
            </w:pPr>
            <m:oMathPara>
              <m:oMath>
                <m:sSub>
                  <m:sSubPr>
                    <m:ctrlPr>
                      <w:rPr>
                        <w:rFonts w:ascii="Cambria Math" w:hAnsi="Cambria Math"/>
                        <w:i/>
                      </w:rPr>
                    </m:ctrlPr>
                  </m:sSubPr>
                  <m:e>
                    <m:r>
                      <w:rPr>
                        <w:rFonts w:ascii="Cambria Math" w:hAnsi="Cambria Math"/>
                      </w:rPr>
                      <m:t>h</m:t>
                    </m:r>
                  </m:e>
                  <m:sub>
                    <m:r>
                      <w:rPr>
                        <w:rFonts w:ascii="Cambria Math" w:hAnsi="Cambria Math"/>
                      </w:rPr>
                      <m:t>e</m:t>
                    </m:r>
                  </m:sub>
                </m:sSub>
                <m:r>
                  <w:rPr>
                    <w:rFonts w:ascii="Cambria Math" w:hAnsi="Cambria Math"/>
                  </w:rPr>
                  <m:t>=</m:t>
                </m:r>
                <m:f>
                  <m:fPr>
                    <m:ctrlPr>
                      <w:rPr>
                        <w:rFonts w:ascii="Cambria Math" w:hAnsi="Cambria Math"/>
                        <w:i/>
                      </w:rPr>
                    </m:ctrlPr>
                  </m:fPr>
                  <m:num>
                    <m:r>
                      <w:rPr>
                        <w:rFonts w:ascii="Cambria Math" w:hAnsi="Cambria Math"/>
                      </w:rPr>
                      <m:t>Nu.λ</m:t>
                    </m:r>
                  </m:num>
                  <m:den>
                    <m:sSub>
                      <m:sSubPr>
                        <m:ctrlPr>
                          <w:rPr>
                            <w:rFonts w:ascii="Cambria Math" w:hAnsi="Cambria Math"/>
                            <w:i/>
                          </w:rPr>
                        </m:ctrlPr>
                      </m:sSubPr>
                      <m:e>
                        <m:r>
                          <w:rPr>
                            <w:rFonts w:ascii="Cambria Math" w:hAnsi="Cambria Math"/>
                          </w:rPr>
                          <m:t>D</m:t>
                        </m:r>
                      </m:e>
                      <m:sub>
                        <m:r>
                          <w:rPr>
                            <w:rFonts w:ascii="Cambria Math" w:hAnsi="Cambria Math"/>
                          </w:rPr>
                          <m:t>H</m:t>
                        </m:r>
                      </m:sub>
                    </m:sSub>
                  </m:den>
                </m:f>
              </m:oMath>
            </m:oMathPara>
          </w:p>
        </w:tc>
        <w:tc>
          <w:tcPr>
            <w:tcW w:w="882" w:type="dxa"/>
            <w:vAlign w:val="center"/>
          </w:tcPr>
          <w:p w:rsidR="007B3043" w:rsidRPr="003E737C" w:rsidRDefault="007B3043" w:rsidP="00264FB9">
            <w:pPr>
              <w:pStyle w:val="Caption"/>
              <w:rPr>
                <w:rFonts w:cstheme="minorHAnsi"/>
                <w:b/>
                <w:color w:val="000000" w:themeColor="text1"/>
                <w:szCs w:val="22"/>
              </w:rPr>
            </w:pPr>
            <w:r w:rsidRPr="003E737C">
              <w:rPr>
                <w:rFonts w:cstheme="minorHAnsi"/>
                <w:color w:val="000000" w:themeColor="text1"/>
                <w:szCs w:val="22"/>
              </w:rPr>
              <w:t>(</w:t>
            </w:r>
            <w:r w:rsidR="00066E55" w:rsidRPr="003E737C">
              <w:rPr>
                <w:rFonts w:cstheme="minorHAnsi"/>
                <w:b/>
                <w:color w:val="000000" w:themeColor="text1"/>
                <w:szCs w:val="22"/>
              </w:rPr>
              <w:fldChar w:fldCharType="begin"/>
            </w:r>
            <w:r w:rsidRPr="003E737C">
              <w:rPr>
                <w:rFonts w:cstheme="minorHAnsi"/>
                <w:color w:val="000000" w:themeColor="text1"/>
                <w:szCs w:val="22"/>
              </w:rPr>
              <w:instrText xml:space="preserve"> SEQ 1. \* ARABIC </w:instrText>
            </w:r>
            <w:r w:rsidR="00066E55" w:rsidRPr="003E737C">
              <w:rPr>
                <w:rFonts w:cstheme="minorHAnsi"/>
                <w:b/>
                <w:color w:val="000000" w:themeColor="text1"/>
                <w:szCs w:val="22"/>
              </w:rPr>
              <w:fldChar w:fldCharType="separate"/>
            </w:r>
            <w:r w:rsidR="003B7F32">
              <w:rPr>
                <w:rFonts w:cstheme="minorHAnsi"/>
                <w:noProof/>
                <w:color w:val="000000" w:themeColor="text1"/>
                <w:szCs w:val="22"/>
              </w:rPr>
              <w:t>7</w:t>
            </w:r>
            <w:r w:rsidR="00066E55" w:rsidRPr="003E737C">
              <w:rPr>
                <w:rFonts w:cstheme="minorHAnsi"/>
                <w:b/>
                <w:color w:val="000000" w:themeColor="text1"/>
                <w:szCs w:val="22"/>
              </w:rPr>
              <w:fldChar w:fldCharType="end"/>
            </w:r>
            <w:r w:rsidRPr="003E737C">
              <w:rPr>
                <w:rFonts w:cstheme="minorHAnsi"/>
                <w:color w:val="000000" w:themeColor="text1"/>
                <w:szCs w:val="22"/>
              </w:rPr>
              <w:t>)</w:t>
            </w:r>
          </w:p>
        </w:tc>
      </w:tr>
    </w:tbl>
    <w:p w:rsidR="007B3043" w:rsidRPr="00BE76AA" w:rsidRDefault="007B3043" w:rsidP="00BE76AA">
      <w:pPr>
        <w:pStyle w:val="BodyText"/>
      </w:pPr>
      <w:r w:rsidRPr="00BE76AA">
        <w:t xml:space="preserve">Finally, the total local heat transfer </w:t>
      </w:r>
      <m:oMath>
        <m:r>
          <m:rPr>
            <m:sty m:val="p"/>
          </m:rPr>
          <w:rPr>
            <w:rFonts w:ascii="Cambria Math" w:hAnsi="Cambria Math"/>
          </w:rPr>
          <m:t>U</m:t>
        </m:r>
      </m:oMath>
      <w:r w:rsidRPr="00BE76AA">
        <w:t xml:space="preserve"> is determined, considering also the water tube’s heat transfer resistance </w:t>
      </w:r>
      <m:oMath>
        <m:r>
          <m:rPr>
            <m:sty m:val="p"/>
          </m:rPr>
          <w:rPr>
            <w:rFonts w:ascii="Cambria Math" w:hAnsi="Cambria Math"/>
          </w:rPr>
          <m:t>R</m:t>
        </m:r>
      </m:oMath>
      <w:r w:rsidRPr="00BE76AA">
        <w:t xml:space="preserve"> and the heat transfer coefficient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i</m:t>
            </m:r>
          </m:sub>
        </m:sSub>
      </m:oMath>
      <w:r w:rsidRPr="00BE76AA">
        <w:t xml:space="preserve"> on the water side, as follows: </w:t>
      </w:r>
    </w:p>
    <w:tbl>
      <w:tblPr>
        <w:tblW w:w="0" w:type="auto"/>
        <w:tblLook w:val="04A0"/>
      </w:tblPr>
      <w:tblGrid>
        <w:gridCol w:w="8330"/>
        <w:gridCol w:w="882"/>
      </w:tblGrid>
      <w:tr w:rsidR="007B3043" w:rsidRPr="003E737C" w:rsidTr="00264FB9">
        <w:tc>
          <w:tcPr>
            <w:tcW w:w="8330" w:type="dxa"/>
            <w:vAlign w:val="center"/>
          </w:tcPr>
          <w:p w:rsidR="007B3043" w:rsidRPr="007A7F61" w:rsidRDefault="007B3043" w:rsidP="00264FB9">
            <w:pPr>
              <w:spacing w:before="120" w:after="120"/>
            </w:pPr>
            <m:oMathPara>
              <m:oMath>
                <m:r>
                  <w:rPr>
                    <w:rFonts w:ascii="Cambria Math" w:hAnsi="Cambria Math"/>
                  </w:rPr>
                  <m:t>U=</m:t>
                </m:r>
                <m:f>
                  <m:fPr>
                    <m:type m:val="lin"/>
                    <m:ctrlPr>
                      <w:rPr>
                        <w:rFonts w:ascii="Cambria Math" w:hAnsi="Cambria Math"/>
                        <w:i/>
                      </w:rPr>
                    </m:ctrlPr>
                  </m:fPr>
                  <m:num>
                    <m:r>
                      <w:rPr>
                        <w:rFonts w:ascii="Cambria Math" w:hAnsi="Cambria Math"/>
                      </w:rPr>
                      <m:t>1</m:t>
                    </m:r>
                  </m:num>
                  <m:den>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h</m:t>
                                </m:r>
                              </m:e>
                              <m:sub>
                                <m:r>
                                  <w:rPr>
                                    <w:rFonts w:ascii="Cambria Math" w:hAnsi="Cambria Math"/>
                                  </w:rPr>
                                  <m:t>e</m:t>
                                </m:r>
                              </m:sub>
                            </m:sSub>
                          </m:den>
                        </m:f>
                        <m:r>
                          <w:rPr>
                            <w:rFonts w:ascii="Cambria Math" w:hAnsi="Cambria Math"/>
                          </w:rPr>
                          <m:t>+R+</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h</m:t>
                                </m:r>
                              </m:e>
                              <m:sub>
                                <m:r>
                                  <w:rPr>
                                    <w:rFonts w:ascii="Cambria Math" w:hAnsi="Cambria Math"/>
                                  </w:rPr>
                                  <m:t>i</m:t>
                                </m:r>
                              </m:sub>
                            </m:sSub>
                          </m:den>
                        </m:f>
                      </m:e>
                    </m:d>
                  </m:den>
                </m:f>
              </m:oMath>
            </m:oMathPara>
          </w:p>
        </w:tc>
        <w:tc>
          <w:tcPr>
            <w:tcW w:w="882" w:type="dxa"/>
            <w:vAlign w:val="center"/>
          </w:tcPr>
          <w:p w:rsidR="007B3043" w:rsidRPr="003E737C" w:rsidRDefault="007B3043" w:rsidP="00264FB9">
            <w:pPr>
              <w:pStyle w:val="Caption"/>
              <w:rPr>
                <w:rFonts w:cstheme="minorHAnsi"/>
                <w:b/>
                <w:color w:val="000000" w:themeColor="text1"/>
                <w:szCs w:val="22"/>
              </w:rPr>
            </w:pPr>
            <w:r w:rsidRPr="003E737C">
              <w:rPr>
                <w:rFonts w:cstheme="minorHAnsi"/>
                <w:color w:val="000000" w:themeColor="text1"/>
                <w:szCs w:val="22"/>
              </w:rPr>
              <w:t>(</w:t>
            </w:r>
            <w:r w:rsidR="00066E55" w:rsidRPr="003E737C">
              <w:rPr>
                <w:rFonts w:cstheme="minorHAnsi"/>
                <w:b/>
                <w:color w:val="000000" w:themeColor="text1"/>
                <w:szCs w:val="22"/>
              </w:rPr>
              <w:fldChar w:fldCharType="begin"/>
            </w:r>
            <w:r w:rsidRPr="003E737C">
              <w:rPr>
                <w:rFonts w:cstheme="minorHAnsi"/>
                <w:color w:val="000000" w:themeColor="text1"/>
                <w:szCs w:val="22"/>
              </w:rPr>
              <w:instrText xml:space="preserve"> SEQ 1. \* ARABIC </w:instrText>
            </w:r>
            <w:r w:rsidR="00066E55" w:rsidRPr="003E737C">
              <w:rPr>
                <w:rFonts w:cstheme="minorHAnsi"/>
                <w:b/>
                <w:color w:val="000000" w:themeColor="text1"/>
                <w:szCs w:val="22"/>
              </w:rPr>
              <w:fldChar w:fldCharType="separate"/>
            </w:r>
            <w:r w:rsidR="003B7F32">
              <w:rPr>
                <w:rFonts w:cstheme="minorHAnsi"/>
                <w:noProof/>
                <w:color w:val="000000" w:themeColor="text1"/>
                <w:szCs w:val="22"/>
              </w:rPr>
              <w:t>8</w:t>
            </w:r>
            <w:r w:rsidR="00066E55" w:rsidRPr="003E737C">
              <w:rPr>
                <w:rFonts w:cstheme="minorHAnsi"/>
                <w:b/>
                <w:color w:val="000000" w:themeColor="text1"/>
                <w:szCs w:val="22"/>
              </w:rPr>
              <w:fldChar w:fldCharType="end"/>
            </w:r>
            <w:r w:rsidRPr="003E737C">
              <w:rPr>
                <w:rFonts w:cstheme="minorHAnsi"/>
                <w:color w:val="000000" w:themeColor="text1"/>
                <w:szCs w:val="22"/>
              </w:rPr>
              <w:t>)</w:t>
            </w:r>
          </w:p>
        </w:tc>
      </w:tr>
    </w:tbl>
    <w:p w:rsidR="007B3043" w:rsidRPr="00BE76AA" w:rsidRDefault="007B3043" w:rsidP="00BE76AA">
      <w:pPr>
        <w:pStyle w:val="BodyText"/>
      </w:pPr>
      <w:r w:rsidRPr="00BE76AA">
        <w:t xml:space="preserve">As for the core, the heat sink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PHX</m:t>
            </m:r>
          </m:sub>
        </m:sSub>
        <m:r>
          <m:rPr>
            <m:sty m:val="p"/>
          </m:rPr>
          <w:rPr>
            <w:rFonts w:ascii="Cambria Math" w:hAnsi="Cambria Math"/>
          </w:rPr>
          <m:t xml:space="preserve"> </m:t>
        </m:r>
      </m:oMath>
      <w:r w:rsidRPr="00BE76AA">
        <w:t xml:space="preserve">is volumetric, therefore it takes into account the water tubes exchange surface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exchange</m:t>
            </m:r>
          </m:sub>
        </m:sSub>
      </m:oMath>
      <w:r w:rsidRPr="00BE76AA">
        <w:t xml:space="preserve">, the Heat Exchanger volume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HX</m:t>
            </m:r>
          </m:sub>
        </m:sSub>
      </m:oMath>
      <w:r w:rsidRPr="00BE76AA">
        <w:t xml:space="preserve"> and the local temperature difference between the LBE and the water, such that: </w:t>
      </w:r>
    </w:p>
    <w:tbl>
      <w:tblPr>
        <w:tblW w:w="0" w:type="auto"/>
        <w:tblLook w:val="04A0"/>
      </w:tblPr>
      <w:tblGrid>
        <w:gridCol w:w="8330"/>
        <w:gridCol w:w="882"/>
      </w:tblGrid>
      <w:tr w:rsidR="007B3043" w:rsidRPr="003E737C" w:rsidTr="00264FB9">
        <w:tc>
          <w:tcPr>
            <w:tcW w:w="8330" w:type="dxa"/>
            <w:vAlign w:val="center"/>
          </w:tcPr>
          <w:p w:rsidR="007B3043" w:rsidRPr="007A7F61" w:rsidRDefault="00066E55" w:rsidP="00264FB9">
            <w:pPr>
              <w:spacing w:before="120" w:after="120"/>
            </w:pPr>
            <m:oMathPara>
              <m:oMath>
                <m:sSub>
                  <m:sSubPr>
                    <m:ctrlPr>
                      <w:rPr>
                        <w:rFonts w:ascii="Cambria Math" w:hAnsi="Cambria Math"/>
                        <w:i/>
                      </w:rPr>
                    </m:ctrlPr>
                  </m:sSubPr>
                  <m:e>
                    <m:r>
                      <w:rPr>
                        <w:rFonts w:ascii="Cambria Math" w:hAnsi="Cambria Math"/>
                      </w:rPr>
                      <m:t>S</m:t>
                    </m:r>
                  </m:e>
                  <m:sub>
                    <m:r>
                      <w:rPr>
                        <w:rFonts w:ascii="Cambria Math" w:hAnsi="Cambria Math"/>
                      </w:rPr>
                      <m:t>HX</m:t>
                    </m:r>
                  </m:sub>
                </m:sSub>
                <m:r>
                  <w:rPr>
                    <w:rFonts w:ascii="Cambria Math" w:hAnsi="Cambria Math"/>
                  </w:rPr>
                  <m:t>=</m:t>
                </m:r>
                <m:f>
                  <m:fPr>
                    <m:type m:val="lin"/>
                    <m:ctrlPr>
                      <w:rPr>
                        <w:rFonts w:ascii="Cambria Math" w:hAnsi="Cambria Math"/>
                        <w:i/>
                      </w:rPr>
                    </m:ctrlPr>
                  </m:fPr>
                  <m:num>
                    <m:r>
                      <w:rPr>
                        <w:rFonts w:ascii="Cambria Math" w:hAnsi="Cambria Math"/>
                      </w:rPr>
                      <m:t>U</m:t>
                    </m:r>
                    <m:sSub>
                      <m:sSubPr>
                        <m:ctrlPr>
                          <w:rPr>
                            <w:rFonts w:ascii="Cambria Math" w:hAnsi="Cambria Math"/>
                            <w:i/>
                          </w:rPr>
                        </m:ctrlPr>
                      </m:sSubPr>
                      <m:e>
                        <m:r>
                          <w:rPr>
                            <w:rFonts w:ascii="Cambria Math" w:hAnsi="Cambria Math"/>
                          </w:rPr>
                          <m:t>A</m:t>
                        </m:r>
                      </m:e>
                      <m:sub>
                        <m:r>
                          <w:rPr>
                            <w:rFonts w:ascii="Cambria Math" w:hAnsi="Cambria Math"/>
                          </w:rPr>
                          <m:t>exchange</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water</m:t>
                            </m:r>
                          </m:sub>
                        </m:sSub>
                      </m:e>
                    </m:d>
                  </m:num>
                  <m:den>
                    <m:sSub>
                      <m:sSubPr>
                        <m:ctrlPr>
                          <w:rPr>
                            <w:rFonts w:ascii="Cambria Math" w:hAnsi="Cambria Math"/>
                            <w:i/>
                          </w:rPr>
                        </m:ctrlPr>
                      </m:sSubPr>
                      <m:e>
                        <m:r>
                          <w:rPr>
                            <w:rFonts w:ascii="Cambria Math" w:hAnsi="Cambria Math"/>
                          </w:rPr>
                          <m:t>V</m:t>
                        </m:r>
                      </m:e>
                      <m:sub>
                        <m:r>
                          <w:rPr>
                            <w:rFonts w:ascii="Cambria Math" w:hAnsi="Cambria Math"/>
                          </w:rPr>
                          <m:t>HX</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HX</m:t>
                        </m:r>
                      </m:sub>
                    </m:sSub>
                  </m:den>
                </m:f>
              </m:oMath>
            </m:oMathPara>
          </w:p>
        </w:tc>
        <w:tc>
          <w:tcPr>
            <w:tcW w:w="882" w:type="dxa"/>
            <w:vAlign w:val="center"/>
          </w:tcPr>
          <w:p w:rsidR="007B3043" w:rsidRPr="003E737C" w:rsidRDefault="007B3043" w:rsidP="00264FB9">
            <w:pPr>
              <w:pStyle w:val="Caption"/>
              <w:rPr>
                <w:rFonts w:cstheme="minorHAnsi"/>
                <w:b/>
                <w:color w:val="000000" w:themeColor="text1"/>
                <w:szCs w:val="22"/>
              </w:rPr>
            </w:pPr>
            <w:r w:rsidRPr="003E737C">
              <w:rPr>
                <w:rFonts w:cstheme="minorHAnsi"/>
                <w:color w:val="000000" w:themeColor="text1"/>
                <w:szCs w:val="22"/>
              </w:rPr>
              <w:t>(</w:t>
            </w:r>
            <w:r w:rsidR="00066E55" w:rsidRPr="003E737C">
              <w:rPr>
                <w:rFonts w:cstheme="minorHAnsi"/>
                <w:b/>
                <w:color w:val="000000" w:themeColor="text1"/>
                <w:szCs w:val="22"/>
              </w:rPr>
              <w:fldChar w:fldCharType="begin"/>
            </w:r>
            <w:r w:rsidRPr="003E737C">
              <w:rPr>
                <w:rFonts w:cstheme="minorHAnsi"/>
                <w:color w:val="000000" w:themeColor="text1"/>
                <w:szCs w:val="22"/>
              </w:rPr>
              <w:instrText xml:space="preserve"> SEQ 1. \* ARABIC </w:instrText>
            </w:r>
            <w:r w:rsidR="00066E55" w:rsidRPr="003E737C">
              <w:rPr>
                <w:rFonts w:cstheme="minorHAnsi"/>
                <w:b/>
                <w:color w:val="000000" w:themeColor="text1"/>
                <w:szCs w:val="22"/>
              </w:rPr>
              <w:fldChar w:fldCharType="separate"/>
            </w:r>
            <w:r w:rsidR="003B7F32">
              <w:rPr>
                <w:rFonts w:cstheme="minorHAnsi"/>
                <w:noProof/>
                <w:color w:val="000000" w:themeColor="text1"/>
                <w:szCs w:val="22"/>
              </w:rPr>
              <w:t>9</w:t>
            </w:r>
            <w:r w:rsidR="00066E55" w:rsidRPr="003E737C">
              <w:rPr>
                <w:rFonts w:cstheme="minorHAnsi"/>
                <w:b/>
                <w:color w:val="000000" w:themeColor="text1"/>
                <w:szCs w:val="22"/>
              </w:rPr>
              <w:fldChar w:fldCharType="end"/>
            </w:r>
            <w:r w:rsidRPr="003E737C">
              <w:rPr>
                <w:rFonts w:cstheme="minorHAnsi"/>
                <w:color w:val="000000" w:themeColor="text1"/>
                <w:szCs w:val="22"/>
              </w:rPr>
              <w:t>)</w:t>
            </w:r>
          </w:p>
        </w:tc>
      </w:tr>
    </w:tbl>
    <w:p w:rsidR="007B3043" w:rsidRDefault="007B3043" w:rsidP="007B3043">
      <w:pPr>
        <w:pStyle w:val="BodyText3"/>
        <w:rPr>
          <w:sz w:val="22"/>
          <w:szCs w:val="22"/>
        </w:rPr>
      </w:pPr>
    </w:p>
    <w:p w:rsidR="007B3043" w:rsidRDefault="007B3043" w:rsidP="007B3043">
      <w:pPr>
        <w:pStyle w:val="BodyText3"/>
        <w:jc w:val="center"/>
        <w:rPr>
          <w:sz w:val="22"/>
          <w:szCs w:val="22"/>
        </w:rPr>
      </w:pPr>
      <w:r w:rsidRPr="005523C1">
        <w:rPr>
          <w:noProof/>
          <w:sz w:val="22"/>
          <w:szCs w:val="22"/>
          <w:lang w:eastAsia="en-GB"/>
        </w:rPr>
        <w:drawing>
          <wp:inline distT="0" distB="0" distL="0" distR="0">
            <wp:extent cx="2986088" cy="1652473"/>
            <wp:effectExtent l="19050" t="0" r="4762" b="0"/>
            <wp:docPr id="301059" name="Picture 15" descr="HX_FAST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X_FASTEF.png"/>
                    <pic:cNvPicPr/>
                  </pic:nvPicPr>
                  <pic:blipFill>
                    <a:blip r:embed="rId63" cstate="print"/>
                    <a:stretch>
                      <a:fillRect/>
                    </a:stretch>
                  </pic:blipFill>
                  <pic:spPr>
                    <a:xfrm>
                      <a:off x="0" y="0"/>
                      <a:ext cx="2988687" cy="1653911"/>
                    </a:xfrm>
                    <a:prstGeom prst="rect">
                      <a:avLst/>
                    </a:prstGeom>
                  </pic:spPr>
                </pic:pic>
              </a:graphicData>
            </a:graphic>
          </wp:inline>
        </w:drawing>
      </w:r>
    </w:p>
    <w:p w:rsidR="007B3043" w:rsidRPr="009D7EED" w:rsidRDefault="007B3043" w:rsidP="0026570F">
      <w:pPr>
        <w:pStyle w:val="Caption"/>
        <w:spacing w:after="120" w:line="240" w:lineRule="auto"/>
        <w:jc w:val="center"/>
      </w:pPr>
      <w:bookmarkStart w:id="44" w:name="_Ref411435952"/>
      <w:r w:rsidRPr="009D7EED">
        <w:t xml:space="preserve">Figure </w:t>
      </w:r>
      <w:r w:rsidR="00066E55">
        <w:fldChar w:fldCharType="begin"/>
      </w:r>
      <w:r w:rsidR="0077354E">
        <w:instrText xml:space="preserve"> SEQ Figure \* ARABIC </w:instrText>
      </w:r>
      <w:r w:rsidR="00066E55">
        <w:fldChar w:fldCharType="separate"/>
      </w:r>
      <w:r w:rsidR="003B7F32">
        <w:rPr>
          <w:noProof/>
        </w:rPr>
        <w:t>23</w:t>
      </w:r>
      <w:r w:rsidR="00066E55">
        <w:rPr>
          <w:noProof/>
        </w:rPr>
        <w:fldChar w:fldCharType="end"/>
      </w:r>
      <w:bookmarkEnd w:id="44"/>
      <w:r w:rsidRPr="009D7EED">
        <w:t>: a</w:t>
      </w:r>
      <w:proofErr w:type="gramStart"/>
      <w:r w:rsidRPr="009D7EED">
        <w:t>)  HX</w:t>
      </w:r>
      <w:proofErr w:type="gramEnd"/>
      <w:r w:rsidRPr="009D7EED">
        <w:t xml:space="preserve"> design b) HX with porous media </w:t>
      </w:r>
      <w:proofErr w:type="spellStart"/>
      <w:r w:rsidRPr="009D7EED">
        <w:t>modeling</w:t>
      </w:r>
      <w:proofErr w:type="spellEnd"/>
    </w:p>
    <w:p w:rsidR="007B3043" w:rsidRPr="00DB69CD" w:rsidRDefault="007B3043" w:rsidP="007B3043">
      <w:pPr>
        <w:pStyle w:val="BodyText3"/>
        <w:rPr>
          <w:sz w:val="22"/>
          <w:szCs w:val="22"/>
        </w:rPr>
      </w:pPr>
    </w:p>
    <w:p w:rsidR="007B3043" w:rsidRPr="00BE76AA" w:rsidRDefault="007B3043" w:rsidP="00BE76AA">
      <w:pPr>
        <w:pStyle w:val="BodyText"/>
      </w:pPr>
      <w:r w:rsidRPr="00BE76AA">
        <w:t xml:space="preserve">The water temperature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water</m:t>
            </m:r>
          </m:sub>
        </m:sSub>
      </m:oMath>
      <w:r w:rsidRPr="00BE76AA">
        <w:t xml:space="preserve"> is fixed to 200 °C. An additional factor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HX</m:t>
            </m:r>
          </m:sub>
        </m:sSub>
      </m:oMath>
      <w:r w:rsidRPr="00BE76AA">
        <w:t xml:space="preserve"> appears in order to adjust the heat that is removed. The factor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HX</m:t>
            </m:r>
          </m:sub>
        </m:sSub>
      </m:oMath>
      <w:r w:rsidRPr="00BE76AA">
        <w:t xml:space="preserve"> was fixed to 0.52 so that approximately 25.5 MW would be removed by each Heat Exchanger when heat losses are negle</w:t>
      </w:r>
      <w:proofErr w:type="spellStart"/>
      <w:r w:rsidRPr="00BE76AA">
        <w:t>cted</w:t>
      </w:r>
      <w:proofErr w:type="spellEnd"/>
      <w:r w:rsidRPr="00BE76AA">
        <w:t>.</w:t>
      </w:r>
    </w:p>
    <w:p w:rsidR="007B3043" w:rsidRPr="0017399D" w:rsidRDefault="007B3043" w:rsidP="0017399D">
      <w:pPr>
        <w:pStyle w:val="Heading3"/>
      </w:pPr>
      <w:bookmarkStart w:id="45" w:name="_Toc478990088"/>
      <w:r w:rsidRPr="0017399D">
        <w:t>In Vessel Fuel Storage simulation</w:t>
      </w:r>
      <w:bookmarkEnd w:id="45"/>
    </w:p>
    <w:p w:rsidR="007B3043" w:rsidRPr="00BE76AA" w:rsidRDefault="007B3043" w:rsidP="00BE76AA">
      <w:pPr>
        <w:pStyle w:val="BodyText"/>
      </w:pPr>
      <w:r w:rsidRPr="00BE76AA">
        <w:t xml:space="preserve">The IVFS (In Vessel Fuel Storage) consists in four racks, each capable of storing half a core, with 76 positions where the Fuel Assembly can be placed. Instead of representing individually the different positions, this component is simplified using a porous media that surrounds all the storing positions. This region is defined by considering that the racks are fully occupied </w:t>
      </w:r>
      <w:r w:rsidRPr="00BE76AA">
        <w:lastRenderedPageBreak/>
        <w:t xml:space="preserve">by the Fuel Assembly. Consequently, the same parameters are taken for the IVFS porous media than for the Fuel Assembly rings. Finally, in terms of heat </w:t>
      </w:r>
      <w:proofErr w:type="spellStart"/>
      <w:r w:rsidRPr="00BE76AA">
        <w:t>modeling</w:t>
      </w:r>
      <w:proofErr w:type="spellEnd"/>
      <w:r w:rsidRPr="00BE76AA">
        <w:t xml:space="preserve"> the IVFS represent an additional source of energy since the stored Fuel Assembly release some residual heat. Thus, a uniform heat source is added in each of them so that an extra 2 MW is injected in total. It is important to mention that LBE is able to flow within the IVFS to help cool down the Fuel Assembly by natural convection. To allow the coolant circulation, several holes are placed in the cylindrical shell of the inner vessel between the two plates of the IVFS casing.</w:t>
      </w:r>
    </w:p>
    <w:p w:rsidR="0017399D" w:rsidRDefault="0017399D" w:rsidP="007B3043">
      <w:pPr>
        <w:jc w:val="both"/>
        <w:rPr>
          <w:shd w:val="clear" w:color="auto" w:fill="FFFFFF"/>
        </w:rPr>
      </w:pPr>
    </w:p>
    <w:p w:rsidR="0017399D" w:rsidRPr="00264FB9" w:rsidRDefault="0017399D" w:rsidP="0017399D">
      <w:pPr>
        <w:pStyle w:val="Heading3"/>
        <w:jc w:val="both"/>
        <w:rPr>
          <w:shd w:val="clear" w:color="auto" w:fill="FFFFFF"/>
        </w:rPr>
      </w:pPr>
      <w:bookmarkStart w:id="46" w:name="_Toc478990089"/>
      <w:r>
        <w:t>Computational mesh</w:t>
      </w:r>
      <w:bookmarkEnd w:id="46"/>
    </w:p>
    <w:p w:rsidR="0017399D" w:rsidRPr="00BE76AA" w:rsidRDefault="0017399D" w:rsidP="00BE76AA">
      <w:pPr>
        <w:pStyle w:val="BodyText"/>
      </w:pPr>
      <w:r w:rsidRPr="00BE76AA">
        <w:t xml:space="preserve">Finite Volume codes are more accurate with hexahedral meshes, as the flow is better aligned with the grid. In order to obtain a hexahedral based mesh for the reactor simulations, the mesh generator included in the </w:t>
      </w:r>
      <w:proofErr w:type="spellStart"/>
      <w:r w:rsidRPr="00BE76AA">
        <w:t>OpenFOAM</w:t>
      </w:r>
      <w:proofErr w:type="spellEnd"/>
      <w:r w:rsidRPr="00BE76AA">
        <w:t xml:space="preserve"> package, called </w:t>
      </w:r>
      <w:proofErr w:type="spellStart"/>
      <w:r w:rsidRPr="00BE76AA">
        <w:t>snappyHexMesh</w:t>
      </w:r>
      <w:proofErr w:type="spellEnd"/>
      <w:r w:rsidRPr="00BE76AA">
        <w:t xml:space="preserve"> was used [</w:t>
      </w:r>
      <w:r w:rsidR="00066E55">
        <w:fldChar w:fldCharType="begin"/>
      </w:r>
      <w:r w:rsidR="00BE76AA">
        <w:instrText xml:space="preserve"> REF _Ref355337519 \r \h </w:instrText>
      </w:r>
      <w:r w:rsidR="00066E55">
        <w:fldChar w:fldCharType="separate"/>
      </w:r>
      <w:r w:rsidR="003B7F32">
        <w:t>11</w:t>
      </w:r>
      <w:r w:rsidR="00066E55">
        <w:fldChar w:fldCharType="end"/>
      </w:r>
      <w:r w:rsidRPr="00BE76AA">
        <w:t xml:space="preserve">]. The </w:t>
      </w:r>
      <w:proofErr w:type="spellStart"/>
      <w:r w:rsidRPr="00BE76AA">
        <w:t>snappyHexMesh</w:t>
      </w:r>
      <w:proofErr w:type="spellEnd"/>
      <w:r w:rsidRPr="00BE76AA">
        <w:t xml:space="preserve"> utility generates 3-dimensional meshes containing hexahedra (hex) and split-hexahedra (split-hex) automatically from triangulated surface geometries in </w:t>
      </w:r>
      <w:proofErr w:type="spellStart"/>
      <w:r w:rsidRPr="00BE76AA">
        <w:t>Stereolithography</w:t>
      </w:r>
      <w:proofErr w:type="spellEnd"/>
      <w:r w:rsidRPr="00BE76AA">
        <w:t xml:space="preserve"> (STL) format. The mesh approximately conforms to the surface by iteratively refining a starting mesh and morphing the resulting split-hex mesh to the surface. The specification of mesh refinement level is very flexible and the surface handling is robust with a pre-specified final mesh quality. The mesh generator is script driven and completely automatic. Geometry modifications therefore can be taken into account easily. It runs in parallel with a load balancing step </w:t>
      </w:r>
      <w:proofErr w:type="gramStart"/>
      <w:r w:rsidRPr="00BE76AA">
        <w:t>at each iteration</w:t>
      </w:r>
      <w:proofErr w:type="gramEnd"/>
      <w:r w:rsidRPr="00BE76AA">
        <w:t>, which makes it very efficient.</w:t>
      </w:r>
    </w:p>
    <w:p w:rsidR="0017399D" w:rsidRPr="00BE76AA" w:rsidRDefault="0017399D" w:rsidP="00BE76AA">
      <w:pPr>
        <w:pStyle w:val="BodyText"/>
      </w:pPr>
      <w:r w:rsidRPr="00BE76AA">
        <w:t xml:space="preserve">First a basic background mesh was generated with a global mesh size of 30cm. This basic mesh is then refined 4 times around the surfaces and edges to get a good representation of the geometry with a refinement ratio 1:2 (cell </w:t>
      </w:r>
      <w:r w:rsidR="00D9527A" w:rsidRPr="00BE76AA">
        <w:t xml:space="preserve">linear </w:t>
      </w:r>
      <w:r w:rsidRPr="00BE76AA">
        <w:t xml:space="preserve">ratio between </w:t>
      </w:r>
      <w:r w:rsidR="00B64EDC" w:rsidRPr="00BE76AA">
        <w:t xml:space="preserve">fine </w:t>
      </w:r>
      <w:r w:rsidRPr="00BE76AA">
        <w:t xml:space="preserve">and </w:t>
      </w:r>
      <w:r w:rsidR="00B64EDC" w:rsidRPr="00BE76AA">
        <w:t xml:space="preserve">coarse </w:t>
      </w:r>
      <w:r w:rsidRPr="00BE76AA">
        <w:t>section</w:t>
      </w:r>
      <w:r w:rsidR="00B64EDC" w:rsidRPr="00BE76AA">
        <w:t>s</w:t>
      </w:r>
      <w:r w:rsidRPr="00BE76AA">
        <w:t xml:space="preserve">). Three different refinement regions were defined in order to capture the pump jets and the jet below the core. Finally, the refined mesh is snapped to the surfaces to capture </w:t>
      </w:r>
      <w:r w:rsidR="00B64EDC" w:rsidRPr="00BE76AA">
        <w:t xml:space="preserve">correctly </w:t>
      </w:r>
      <w:r w:rsidRPr="00BE76AA">
        <w:t xml:space="preserve">the geometric complexity. In order to represent the shear stress on the walls without resolving fully the boundary layers, wall functions </w:t>
      </w:r>
      <w:r w:rsidR="00B64EDC" w:rsidRPr="00BE76AA">
        <w:t xml:space="preserve">have </w:t>
      </w:r>
      <w:r w:rsidRPr="00BE76AA">
        <w:t xml:space="preserve">been used. The fluid and the solid mesh </w:t>
      </w:r>
      <w:r w:rsidR="00B64EDC" w:rsidRPr="00BE76AA">
        <w:t xml:space="preserve">are </w:t>
      </w:r>
      <w:r w:rsidRPr="00BE76AA">
        <w:t xml:space="preserve">generated together resulting in a fully conformal mesh between the fluid and the solid regions. In addition to the inner vessel, the other major solid parts are meshed so that conjugate heat transfer, CHT, can also be simulated through these structures. The solids located in between LBE regions of high temperature </w:t>
      </w:r>
      <w:r w:rsidR="00B64EDC" w:rsidRPr="00BE76AA">
        <w:t xml:space="preserve">difference </w:t>
      </w:r>
      <w:r w:rsidRPr="00BE76AA">
        <w:t xml:space="preserve">appear to be the walls of the in vessel fuel handling machine, IVFHM and the two diaphragm plates. In the CAD created for the CFD model, together with various tubes these two components are included within a single part referred to as main-walls and </w:t>
      </w:r>
      <w:proofErr w:type="spellStart"/>
      <w:r w:rsidRPr="00BE76AA">
        <w:t>colored</w:t>
      </w:r>
      <w:proofErr w:type="spellEnd"/>
      <w:r w:rsidRPr="00BE76AA">
        <w:t xml:space="preserve"> in grey in </w:t>
      </w:r>
      <w:fldSimple w:instr=" REF _Ref361141135 \h  \* MERGEFORMAT ">
        <w:r w:rsidR="003B7F32" w:rsidRPr="009D7EED">
          <w:t xml:space="preserve">Figure </w:t>
        </w:r>
        <w:r w:rsidR="003B7F32">
          <w:t>24</w:t>
        </w:r>
      </w:fldSimple>
      <w:r w:rsidRPr="00BE76AA">
        <w:t xml:space="preserve"> a). Therefore, all of these components are meshed at once as a single solid domain (grey domain). In addition, the blue region representative of the closed LBE zone surrounding the core is also meshed. The last solid parts added to the simulation are </w:t>
      </w:r>
      <w:r w:rsidR="00B64EDC" w:rsidRPr="00BE76AA">
        <w:t xml:space="preserve">the </w:t>
      </w:r>
      <w:r w:rsidRPr="00BE76AA">
        <w:t xml:space="preserve">four Heat Exchanger walls. A zoom to the pump </w:t>
      </w:r>
      <w:r w:rsidRPr="00BE76AA">
        <w:lastRenderedPageBreak/>
        <w:t xml:space="preserve">region can be seen in </w:t>
      </w:r>
      <w:fldSimple w:instr=" REF _Ref361141135 \h  \* MERGEFORMAT ">
        <w:r w:rsidR="003B7F32" w:rsidRPr="009D7EED">
          <w:t xml:space="preserve">Figure </w:t>
        </w:r>
        <w:r w:rsidR="003B7F32">
          <w:t>24</w:t>
        </w:r>
      </w:fldSimple>
      <w:r w:rsidRPr="00BE76AA">
        <w:t xml:space="preserve"> b) to give a view to the mesh structure used throughout this work.</w:t>
      </w:r>
    </w:p>
    <w:p w:rsidR="0017399D" w:rsidRPr="00AA6925" w:rsidRDefault="0017399D" w:rsidP="0017399D"/>
    <w:p w:rsidR="0017399D" w:rsidRDefault="0017399D" w:rsidP="00037A15">
      <w:pPr>
        <w:jc w:val="center"/>
      </w:pPr>
      <w:r w:rsidRPr="00AA6925">
        <w:rPr>
          <w:noProof/>
          <w:lang w:eastAsia="en-GB"/>
        </w:rPr>
        <w:drawing>
          <wp:inline distT="0" distB="0" distL="0" distR="0">
            <wp:extent cx="2915219" cy="2258705"/>
            <wp:effectExtent l="19050" t="0" r="0" b="0"/>
            <wp:docPr id="301061" name="Picture 77" descr="fullCHT_com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CHT_compos.png"/>
                    <pic:cNvPicPr/>
                  </pic:nvPicPr>
                  <pic:blipFill>
                    <a:blip r:embed="rId64" cstate="print"/>
                    <a:srcRect r="22873"/>
                    <a:stretch>
                      <a:fillRect/>
                    </a:stretch>
                  </pic:blipFill>
                  <pic:spPr>
                    <a:xfrm>
                      <a:off x="0" y="0"/>
                      <a:ext cx="2915219" cy="2258705"/>
                    </a:xfrm>
                    <a:prstGeom prst="rect">
                      <a:avLst/>
                    </a:prstGeom>
                  </pic:spPr>
                </pic:pic>
              </a:graphicData>
            </a:graphic>
          </wp:inline>
        </w:drawing>
      </w:r>
      <w:r>
        <w:rPr>
          <w:noProof/>
          <w:lang w:eastAsia="en-GB"/>
        </w:rPr>
        <w:drawing>
          <wp:inline distT="0" distB="0" distL="0" distR="0">
            <wp:extent cx="2655911" cy="2804633"/>
            <wp:effectExtent l="19050" t="0" r="0" b="0"/>
            <wp:docPr id="301063" name="Picture 8" descr="pump_reg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p_region.jpg"/>
                    <pic:cNvPicPr/>
                  </pic:nvPicPr>
                  <pic:blipFill>
                    <a:blip r:embed="rId65" cstate="print"/>
                    <a:stretch>
                      <a:fillRect/>
                    </a:stretch>
                  </pic:blipFill>
                  <pic:spPr>
                    <a:xfrm>
                      <a:off x="0" y="0"/>
                      <a:ext cx="2657319" cy="2806120"/>
                    </a:xfrm>
                    <a:prstGeom prst="rect">
                      <a:avLst/>
                    </a:prstGeom>
                  </pic:spPr>
                </pic:pic>
              </a:graphicData>
            </a:graphic>
          </wp:inline>
        </w:drawing>
      </w:r>
    </w:p>
    <w:p w:rsidR="0017399D" w:rsidRPr="009D7EED" w:rsidRDefault="0017399D" w:rsidP="00037A15">
      <w:pPr>
        <w:pStyle w:val="Caption"/>
        <w:spacing w:after="120" w:line="240" w:lineRule="auto"/>
        <w:jc w:val="center"/>
      </w:pPr>
      <w:bookmarkStart w:id="47" w:name="_Ref361141135"/>
      <w:r w:rsidRPr="009D7EED">
        <w:t xml:space="preserve">Figure </w:t>
      </w:r>
      <w:r w:rsidR="00066E55">
        <w:fldChar w:fldCharType="begin"/>
      </w:r>
      <w:r w:rsidR="0077354E">
        <w:instrText xml:space="preserve"> SEQ Figure \* ARABIC </w:instrText>
      </w:r>
      <w:r w:rsidR="00066E55">
        <w:fldChar w:fldCharType="separate"/>
      </w:r>
      <w:r w:rsidR="003B7F32">
        <w:rPr>
          <w:noProof/>
        </w:rPr>
        <w:t>24</w:t>
      </w:r>
      <w:r w:rsidR="00066E55">
        <w:rPr>
          <w:noProof/>
        </w:rPr>
        <w:fldChar w:fldCharType="end"/>
      </w:r>
      <w:bookmarkEnd w:id="47"/>
      <w:r w:rsidRPr="009D7EED">
        <w:t xml:space="preserve">: a) ‘Main-walls’ component in grey and closed LBE region in blue b) Mesh of the </w:t>
      </w:r>
      <w:r>
        <w:t>pump region</w:t>
      </w:r>
    </w:p>
    <w:p w:rsidR="009E7ED6" w:rsidRPr="0005337A" w:rsidRDefault="00037A15" w:rsidP="00E36A4B">
      <w:pPr>
        <w:pStyle w:val="Heading1"/>
      </w:pPr>
      <w:bookmarkStart w:id="48" w:name="_Toc478990090"/>
      <w:r>
        <w:t>(U)</w:t>
      </w:r>
      <w:proofErr w:type="gramStart"/>
      <w:r>
        <w:t>RANS</w:t>
      </w:r>
      <w:r w:rsidR="006F3752">
        <w:t xml:space="preserve"> MYRRHA model </w:t>
      </w:r>
      <w:r w:rsidR="00861D95">
        <w:t>for what?</w:t>
      </w:r>
      <w:bookmarkEnd w:id="48"/>
      <w:proofErr w:type="gramEnd"/>
    </w:p>
    <w:p w:rsidR="00515E76" w:rsidRDefault="006F3752" w:rsidP="00515E76">
      <w:pPr>
        <w:pStyle w:val="BodyText"/>
      </w:pPr>
      <w:r>
        <w:t>Taking for granted that we can freely operate our (U</w:t>
      </w:r>
      <w:proofErr w:type="gramStart"/>
      <w:r>
        <w:t>)RANS</w:t>
      </w:r>
      <w:proofErr w:type="gramEnd"/>
      <w:r>
        <w:t xml:space="preserve"> CFD m</w:t>
      </w:r>
      <w:r w:rsidR="006139FA">
        <w:t>odel, a question naturally arises</w:t>
      </w:r>
      <w:r>
        <w:t>: what to do with it?</w:t>
      </w:r>
    </w:p>
    <w:p w:rsidR="006F3752" w:rsidRDefault="006F3752" w:rsidP="00515E76">
      <w:pPr>
        <w:pStyle w:val="BodyText"/>
      </w:pPr>
      <w:r>
        <w:t xml:space="preserve">Part of the answer lies </w:t>
      </w:r>
      <w:r w:rsidR="00B03994">
        <w:t>in looking at what we have done with it.</w:t>
      </w:r>
    </w:p>
    <w:p w:rsidR="009E7ED6" w:rsidRPr="0005337A" w:rsidRDefault="00B03994" w:rsidP="00DA5771">
      <w:pPr>
        <w:pStyle w:val="Heading2"/>
      </w:pPr>
      <w:bookmarkStart w:id="49" w:name="_Toc478990091"/>
      <w:r>
        <w:t>Looking at the flow and the thermal field under design nominal condition</w:t>
      </w:r>
      <w:bookmarkEnd w:id="49"/>
    </w:p>
    <w:p w:rsidR="00CB1ED1" w:rsidRDefault="00B03994" w:rsidP="00CB1ED1">
      <w:pPr>
        <w:pStyle w:val="Heading3"/>
      </w:pPr>
      <w:bookmarkStart w:id="50" w:name="_Toc478990092"/>
      <w:r>
        <w:t>Looking at the flow field</w:t>
      </w:r>
      <w:bookmarkEnd w:id="50"/>
    </w:p>
    <w:p w:rsidR="00B03994" w:rsidRDefault="00B03994" w:rsidP="00BE76AA">
      <w:pPr>
        <w:pStyle w:val="BodyText"/>
      </w:pPr>
      <w:r>
        <w:t>There are two constraints on the flow field:</w:t>
      </w:r>
    </w:p>
    <w:p w:rsidR="00B03994" w:rsidRDefault="00B03994" w:rsidP="00BE76AA">
      <w:pPr>
        <w:pStyle w:val="BodyText"/>
        <w:numPr>
          <w:ilvl w:val="0"/>
          <w:numId w:val="28"/>
        </w:numPr>
      </w:pPr>
      <w:r>
        <w:t xml:space="preserve">Not too high </w:t>
      </w:r>
      <w:r w:rsidR="00641004">
        <w:t xml:space="preserve">velocity (less than 2m/s) </w:t>
      </w:r>
      <w:r>
        <w:t>for erosion/corrosion issues</w:t>
      </w:r>
    </w:p>
    <w:p w:rsidR="00B03994" w:rsidRDefault="00B03994" w:rsidP="00BE76AA">
      <w:pPr>
        <w:pStyle w:val="BodyText"/>
        <w:numPr>
          <w:ilvl w:val="0"/>
          <w:numId w:val="28"/>
        </w:numPr>
      </w:pPr>
      <w:r>
        <w:t xml:space="preserve">Not too low </w:t>
      </w:r>
      <w:r w:rsidR="00641004">
        <w:t xml:space="preserve">velocity </w:t>
      </w:r>
      <w:r>
        <w:t>for corrosion/oxygen control issues</w:t>
      </w:r>
      <w:r w:rsidR="00641004">
        <w:t xml:space="preserve"> (less than 1 day residence time)</w:t>
      </w:r>
    </w:p>
    <w:p w:rsidR="00E44E28" w:rsidRDefault="00E44E28" w:rsidP="00BE76AA">
      <w:pPr>
        <w:pStyle w:val="BodyText"/>
      </w:pPr>
      <w:r>
        <w:t xml:space="preserve">Visual inspection of the flow velocity throughout the computational domain let us spot a local maximum at the HX outlet, see </w:t>
      </w:r>
      <w:fldSimple w:instr=" REF _Ref477946776 \h  \* MERGEFORMAT ">
        <w:r w:rsidR="003B7F32">
          <w:t>Figure 25</w:t>
        </w:r>
      </w:fldSimple>
      <w:r>
        <w:t xml:space="preserve"> right, apparently still under 2m/s, but taking into account that the HX is modelled as a porous medium, only the superficial velocity in shown which is quite lower than the local maximum velocity, typically when flowing laterally between 2 tubes of the HX.</w:t>
      </w:r>
    </w:p>
    <w:p w:rsidR="00B03994" w:rsidRDefault="00E44E28" w:rsidP="00BE76AA">
      <w:pPr>
        <w:pStyle w:val="BodyText"/>
      </w:pPr>
      <w:r>
        <w:lastRenderedPageBreak/>
        <w:t xml:space="preserve">On the other hand, while constructing the model, we were faced with the “apparition” (subtracting the internal structures to the fluid domain inside the vessel) of a “dead” LBE volume around the core, hydraulically disconnected from the rest of the LBE inventory. The volume is shown on </w:t>
      </w:r>
      <w:fldSimple w:instr=" REF _Ref477946776 \h  \* MERGEFORMAT ">
        <w:r w:rsidR="003B7F32">
          <w:t>Figure 25</w:t>
        </w:r>
      </w:fldSimple>
      <w:r>
        <w:t xml:space="preserve"> right.</w:t>
      </w:r>
    </w:p>
    <w:p w:rsidR="00641004" w:rsidRDefault="00641004" w:rsidP="000E1C69">
      <w:pPr>
        <w:keepNext/>
        <w:jc w:val="center"/>
      </w:pPr>
      <w:r>
        <w:rPr>
          <w:noProof/>
          <w:lang w:eastAsia="en-GB"/>
        </w:rPr>
        <w:drawing>
          <wp:inline distT="0" distB="0" distL="0" distR="0">
            <wp:extent cx="2286000" cy="3257550"/>
            <wp:effectExtent l="0" t="0" r="0" b="0"/>
            <wp:docPr id="2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rotWithShape="1">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974" r="37479"/>
                    <a:stretch/>
                  </pic:blipFill>
                  <pic:spPr bwMode="auto">
                    <a:xfrm>
                      <a:off x="0" y="0"/>
                      <a:ext cx="2297009" cy="32732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en-GB"/>
        </w:rPr>
        <w:drawing>
          <wp:inline distT="0" distB="0" distL="0" distR="0">
            <wp:extent cx="3407292" cy="3255856"/>
            <wp:effectExtent l="0" t="0" r="3175" b="1905"/>
            <wp:docPr id="149508" name="Picture 4" descr="Geom_Dead_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8" name="Picture 4" descr="Geom_Dead_Volume"/>
                    <pic:cNvPicPr>
                      <a:picLocks noChangeAspect="1" noChangeArrowheads="1"/>
                    </pic:cNvPicPr>
                  </pic:nvPicPr>
                  <pic:blipFill rotWithShape="1">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50" r="17355"/>
                    <a:stretch/>
                  </pic:blipFill>
                  <pic:spPr bwMode="auto">
                    <a:xfrm>
                      <a:off x="0" y="0"/>
                      <a:ext cx="3413251" cy="32615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1004" w:rsidRPr="00B03994" w:rsidRDefault="00641004" w:rsidP="000E1C69">
      <w:pPr>
        <w:pStyle w:val="Caption"/>
        <w:jc w:val="center"/>
      </w:pPr>
      <w:bookmarkStart w:id="51" w:name="_Ref477946776"/>
      <w:r>
        <w:t xml:space="preserve">Figure </w:t>
      </w:r>
      <w:r w:rsidR="00066E55">
        <w:fldChar w:fldCharType="begin"/>
      </w:r>
      <w:r>
        <w:instrText xml:space="preserve"> SEQ Figure \* ARABIC </w:instrText>
      </w:r>
      <w:r w:rsidR="00066E55">
        <w:fldChar w:fldCharType="separate"/>
      </w:r>
      <w:r w:rsidR="003B7F32">
        <w:rPr>
          <w:noProof/>
        </w:rPr>
        <w:t>25</w:t>
      </w:r>
      <w:r w:rsidR="00066E55">
        <w:fldChar w:fldCharType="end"/>
      </w:r>
      <w:bookmarkEnd w:id="51"/>
      <w:r>
        <w:t>: MYRRHA model. Left: velocity across the HX. Right: isolated LBE volume (in green) around the core.</w:t>
      </w:r>
    </w:p>
    <w:p w:rsidR="00515E76" w:rsidRDefault="00101533" w:rsidP="00CB1ED1">
      <w:pPr>
        <w:pStyle w:val="Heading3"/>
      </w:pPr>
      <w:bookmarkStart w:id="52" w:name="_Toc478990093"/>
      <w:r>
        <w:t>Looking at the thermal field</w:t>
      </w:r>
      <w:bookmarkEnd w:id="52"/>
    </w:p>
    <w:p w:rsidR="00CB1ED1" w:rsidRDefault="00101533" w:rsidP="00BE76AA">
      <w:pPr>
        <w:pStyle w:val="BodyText"/>
      </w:pPr>
      <w:r>
        <w:t xml:space="preserve">At a first level, we can look at the thermal field for hot spots or cold spots. </w:t>
      </w:r>
      <w:r w:rsidR="00BF3677">
        <w:t>At our level of description, the LBE hottest spot is in the hottest central FA as expected and the coldest spo</w:t>
      </w:r>
      <w:r w:rsidR="007F0C84">
        <w:t>t near the axis of the HXs. As th</w:t>
      </w:r>
      <w:r w:rsidR="00BF3677">
        <w:t xml:space="preserve">e secondary coolant is hotter than the melting temperature, there is no risk of freezing under normal operation. However, the cold spot in the LBE at the top of the HX is a priori unstable and could lead to some thermal fatigue effect, see </w:t>
      </w:r>
      <w:fldSimple w:instr=" REF _Ref477948346 \h  \* MERGEFORMAT ">
        <w:r w:rsidR="003B7F32">
          <w:t>Figure 26</w:t>
        </w:r>
      </w:fldSimple>
      <w:r w:rsidR="00BF3677">
        <w:t xml:space="preserve"> centre. The temperature field at the free surface controls the rate of evaporation of all the substances </w:t>
      </w:r>
      <w:r w:rsidR="00711712">
        <w:t>dissolved in the plenum</w:t>
      </w:r>
      <w:r w:rsidR="007F0C84">
        <w:t>, a chemistry related issue</w:t>
      </w:r>
      <w:r w:rsidR="00711712">
        <w:t xml:space="preserve">. Looking at </w:t>
      </w:r>
      <w:fldSimple w:instr=" REF _Ref477948346 \h  \* MERGEFORMAT ">
        <w:r w:rsidR="003B7F32">
          <w:t>Figure 26</w:t>
        </w:r>
      </w:fldSimple>
      <w:r w:rsidR="00711712">
        <w:t xml:space="preserve"> left, one can guess that some optimisation performed on the ACS could lead to a quite cooler free-surface temperature.</w:t>
      </w:r>
    </w:p>
    <w:p w:rsidR="00711712" w:rsidRDefault="00711712" w:rsidP="00BE76AA">
      <w:pPr>
        <w:pStyle w:val="BodyText"/>
      </w:pPr>
      <w:r>
        <w:t xml:space="preserve">At a second level, by looking at some well-chosen isotherm in the Hot Plenum, see </w:t>
      </w:r>
      <w:fldSimple w:instr=" REF _Ref477948346 \h  \* MERGEFORMAT ">
        <w:r w:rsidR="003B7F32">
          <w:t>Figure 26</w:t>
        </w:r>
      </w:fldSimple>
      <w:r>
        <w:t xml:space="preserve"> right, one can get insight on whether the Hot Plenum thermal stratification is stable or no</w:t>
      </w:r>
      <w:r w:rsidR="007F0C84">
        <w:t>t. This is again because</w:t>
      </w:r>
      <w:r>
        <w:t xml:space="preserve"> low frequency instabilities could lead again to thermal fatigue issues.</w:t>
      </w:r>
    </w:p>
    <w:p w:rsidR="00101533" w:rsidRDefault="00101533" w:rsidP="00CB1ED1"/>
    <w:p w:rsidR="00BF3677" w:rsidRDefault="00101533" w:rsidP="00D57146">
      <w:pPr>
        <w:keepNext/>
        <w:jc w:val="center"/>
      </w:pPr>
      <w:r>
        <w:rPr>
          <w:noProof/>
          <w:lang w:eastAsia="en-GB"/>
        </w:rPr>
        <w:lastRenderedPageBreak/>
        <w:drawing>
          <wp:inline distT="0" distB="0" distL="0" distR="0">
            <wp:extent cx="2095859" cy="1679856"/>
            <wp:effectExtent l="0" t="0" r="0" b="0"/>
            <wp:docPr id="2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102436" cy="1685128"/>
                    </a:xfrm>
                    <a:prstGeom prst="rect">
                      <a:avLst/>
                    </a:prstGeom>
                    <a:noFill/>
                    <a:ln>
                      <a:noFill/>
                    </a:ln>
                  </pic:spPr>
                </pic:pic>
              </a:graphicData>
            </a:graphic>
          </wp:inline>
        </w:drawing>
      </w:r>
      <w:r>
        <w:rPr>
          <w:noProof/>
          <w:lang w:eastAsia="en-GB"/>
        </w:rPr>
        <w:drawing>
          <wp:inline distT="0" distB="0" distL="0" distR="0">
            <wp:extent cx="1314187" cy="1880499"/>
            <wp:effectExtent l="0" t="0" r="635" b="5715"/>
            <wp:docPr id="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rotWithShape="1">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529" r="39107"/>
                    <a:stretch/>
                  </pic:blipFill>
                  <pic:spPr bwMode="auto">
                    <a:xfrm>
                      <a:off x="0" y="0"/>
                      <a:ext cx="1327369" cy="18993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en-GB"/>
        </w:rPr>
        <w:drawing>
          <wp:inline distT="0" distB="0" distL="0" distR="0">
            <wp:extent cx="2042208" cy="1551293"/>
            <wp:effectExtent l="0" t="0" r="0" b="0"/>
            <wp:docPr id="2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44757" cy="1553230"/>
                    </a:xfrm>
                    <a:prstGeom prst="rect">
                      <a:avLst/>
                    </a:prstGeom>
                    <a:noFill/>
                    <a:ln>
                      <a:noFill/>
                    </a:ln>
                  </pic:spPr>
                </pic:pic>
              </a:graphicData>
            </a:graphic>
          </wp:inline>
        </w:drawing>
      </w:r>
    </w:p>
    <w:p w:rsidR="00101533" w:rsidRDefault="00BF3677" w:rsidP="00D57146">
      <w:pPr>
        <w:pStyle w:val="Caption"/>
        <w:jc w:val="center"/>
      </w:pPr>
      <w:bookmarkStart w:id="53" w:name="_Ref477948346"/>
      <w:r>
        <w:t xml:space="preserve">Figure </w:t>
      </w:r>
      <w:r w:rsidR="00066E55">
        <w:fldChar w:fldCharType="begin"/>
      </w:r>
      <w:r>
        <w:instrText xml:space="preserve"> SEQ Figure \* ARABIC </w:instrText>
      </w:r>
      <w:r w:rsidR="00066E55">
        <w:fldChar w:fldCharType="separate"/>
      </w:r>
      <w:r w:rsidR="003B7F32">
        <w:rPr>
          <w:noProof/>
        </w:rPr>
        <w:t>26</w:t>
      </w:r>
      <w:r w:rsidR="00066E55">
        <w:fldChar w:fldCharType="end"/>
      </w:r>
      <w:bookmarkEnd w:id="53"/>
      <w:r>
        <w:t xml:space="preserve">: MYRRHA model. </w:t>
      </w:r>
      <w:proofErr w:type="spellStart"/>
      <w:r>
        <w:t>Lrft</w:t>
      </w:r>
      <w:proofErr w:type="spellEnd"/>
      <w:r>
        <w:t xml:space="preserve">:, free-surface temperature. </w:t>
      </w:r>
      <w:proofErr w:type="spellStart"/>
      <w:r>
        <w:t>Center</w:t>
      </w:r>
      <w:proofErr w:type="spellEnd"/>
      <w:r>
        <w:t>: LBE temperature through the HX. Right: isotherm in the Hot Plenum.</w:t>
      </w:r>
    </w:p>
    <w:p w:rsidR="009E7ED6" w:rsidRPr="0005337A" w:rsidRDefault="00D73FB4" w:rsidP="00DA5771">
      <w:pPr>
        <w:pStyle w:val="Heading2"/>
      </w:pPr>
      <w:bookmarkStart w:id="54" w:name="_Toc478990094"/>
      <w:r>
        <w:t xml:space="preserve">Looking at </w:t>
      </w:r>
      <w:r w:rsidR="004B6663">
        <w:t>the system and sub-systems characteristic times</w:t>
      </w:r>
      <w:bookmarkEnd w:id="54"/>
    </w:p>
    <w:p w:rsidR="001D560A" w:rsidRDefault="004B6663" w:rsidP="00BE76AA">
      <w:pPr>
        <w:pStyle w:val="BodyText"/>
      </w:pPr>
      <w:r>
        <w:t xml:space="preserve"> There are several ways to inquire on the system</w:t>
      </w:r>
      <w:r w:rsidR="00B51530">
        <w:t xml:space="preserve"> and sub-systems</w:t>
      </w:r>
      <w:r>
        <w:t xml:space="preserve"> time response</w:t>
      </w:r>
      <w:r w:rsidR="00B51530">
        <w:t>. Characteristic times based on the ratio volume to flow rate are not sufficient data because not all the fluid in a pool is necessarily involved at the same level. Let us see this on some example.</w:t>
      </w:r>
    </w:p>
    <w:p w:rsidR="00BC6FB1" w:rsidRDefault="00B51530" w:rsidP="00BC6FB1">
      <w:pPr>
        <w:pStyle w:val="Heading3"/>
      </w:pPr>
      <w:bookmarkStart w:id="55" w:name="_Toc478990095"/>
      <w:r>
        <w:t>Local residence time</w:t>
      </w:r>
      <w:bookmarkEnd w:id="55"/>
    </w:p>
    <w:p w:rsidR="00DE64B4" w:rsidRDefault="00B51530" w:rsidP="00BE76AA">
      <w:pPr>
        <w:pStyle w:val="BodyText"/>
      </w:pPr>
      <w:r>
        <w:t xml:space="preserve">Evaluating the residence time of a flow particle entering some fluid volume is easily done using </w:t>
      </w:r>
      <w:proofErr w:type="spellStart"/>
      <w:r>
        <w:t>convected</w:t>
      </w:r>
      <w:proofErr w:type="spellEnd"/>
      <w:r>
        <w:t xml:space="preserve"> passive scalars. You just have to define a passive scalar, initialize it at zero and give it a source term to increment it by one each second. In a closed loop, we must be careful to reset the scalar</w:t>
      </w:r>
      <w:r w:rsidR="00DE64B4">
        <w:t xml:space="preserve"> to zero at some place (really </w:t>
      </w:r>
      <w:r w:rsidR="007F0C84">
        <w:t xml:space="preserve">at </w:t>
      </w:r>
      <w:r w:rsidR="00DE64B4">
        <w:t>some flow cross section) in the loop.</w:t>
      </w:r>
      <w:r>
        <w:t xml:space="preserve"> </w:t>
      </w:r>
    </w:p>
    <w:p w:rsidR="00DE64B4" w:rsidRDefault="00DE64B4" w:rsidP="00BE76AA">
      <w:pPr>
        <w:pStyle w:val="BodyText"/>
      </w:pPr>
      <w:r>
        <w:t xml:space="preserve">The procedure can be applied a </w:t>
      </w:r>
      <w:proofErr w:type="spellStart"/>
      <w:r>
        <w:t>posteriori</w:t>
      </w:r>
      <w:proofErr w:type="spellEnd"/>
      <w:r>
        <w:t xml:space="preserve"> at a relative</w:t>
      </w:r>
      <w:r w:rsidR="00D66141">
        <w:t>ly</w:t>
      </w:r>
      <w:r>
        <w:t xml:space="preserve"> </w:t>
      </w:r>
      <w:r w:rsidR="00D66141">
        <w:t xml:space="preserve">low </w:t>
      </w:r>
      <w:r>
        <w:t>computational cost by freezing</w:t>
      </w:r>
      <w:r w:rsidR="007F0C84">
        <w:t xml:space="preserve"> </w:t>
      </w:r>
      <w:proofErr w:type="gramStart"/>
      <w:r w:rsidR="007F0C84">
        <w:t>all the other</w:t>
      </w:r>
      <w:proofErr w:type="gramEnd"/>
      <w:r w:rsidR="007F0C84">
        <w:t xml:space="preserve"> equations solver</w:t>
      </w:r>
      <w:r>
        <w:t>. In completely stagnant regions, the scalar will practically never reach steady state. Once the time of simulation is quite higher than the mean flow residence time, we can easily spot</w:t>
      </w:r>
      <w:r w:rsidR="003F336C">
        <w:t xml:space="preserve"> the potentially problematic regions, as seen on </w:t>
      </w:r>
      <w:fldSimple w:instr=" REF _Ref477954566 \h  \* MERGEFORMAT ">
        <w:r w:rsidR="003B7F32">
          <w:t>Figure 27</w:t>
        </w:r>
      </w:fldSimple>
      <w:r w:rsidR="003F336C">
        <w:t>.</w:t>
      </w:r>
    </w:p>
    <w:p w:rsidR="00DE64B4" w:rsidRDefault="00DE64B4" w:rsidP="00B51530"/>
    <w:p w:rsidR="00DE64B4" w:rsidRDefault="00DE64B4" w:rsidP="00D57146">
      <w:pPr>
        <w:keepNext/>
        <w:jc w:val="center"/>
      </w:pPr>
      <w:r>
        <w:rPr>
          <w:noProof/>
          <w:lang w:eastAsia="en-GB"/>
        </w:rPr>
        <w:lastRenderedPageBreak/>
        <w:drawing>
          <wp:inline distT="0" distB="0" distL="0" distR="0">
            <wp:extent cx="2274922" cy="2390775"/>
            <wp:effectExtent l="0" t="0" r="0" b="0"/>
            <wp:docPr id="2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rotWithShape="1">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227" r="6256"/>
                    <a:stretch/>
                  </pic:blipFill>
                  <pic:spPr bwMode="auto">
                    <a:xfrm>
                      <a:off x="0" y="0"/>
                      <a:ext cx="2277272" cy="23932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1530" w:rsidRPr="00B51530" w:rsidRDefault="00DE64B4" w:rsidP="00D57146">
      <w:pPr>
        <w:pStyle w:val="Caption"/>
        <w:jc w:val="center"/>
      </w:pPr>
      <w:bookmarkStart w:id="56" w:name="_Ref477954566"/>
      <w:r>
        <w:t xml:space="preserve">Figure </w:t>
      </w:r>
      <w:r w:rsidR="00066E55">
        <w:fldChar w:fldCharType="begin"/>
      </w:r>
      <w:r>
        <w:instrText xml:space="preserve"> SEQ Figure \* ARABIC </w:instrText>
      </w:r>
      <w:r w:rsidR="00066E55">
        <w:fldChar w:fldCharType="separate"/>
      </w:r>
      <w:r w:rsidR="003B7F32">
        <w:rPr>
          <w:noProof/>
        </w:rPr>
        <w:t>27</w:t>
      </w:r>
      <w:r w:rsidR="00066E55">
        <w:fldChar w:fldCharType="end"/>
      </w:r>
      <w:bookmarkEnd w:id="56"/>
      <w:r>
        <w:t xml:space="preserve">: MYRRHA model. </w:t>
      </w:r>
      <w:proofErr w:type="gramStart"/>
      <w:r>
        <w:t>Residence time under nominal condition.</w:t>
      </w:r>
      <w:proofErr w:type="gramEnd"/>
    </w:p>
    <w:p w:rsidR="003F336C" w:rsidRDefault="003F336C" w:rsidP="00BC6FB1">
      <w:pPr>
        <w:pStyle w:val="Heading3"/>
      </w:pPr>
      <w:bookmarkStart w:id="57" w:name="_Toc478990096"/>
      <w:r>
        <w:t>Pollutant emission</w:t>
      </w:r>
      <w:bookmarkEnd w:id="57"/>
    </w:p>
    <w:p w:rsidR="00D2372C" w:rsidRDefault="003F336C" w:rsidP="00BE76AA">
      <w:pPr>
        <w:pStyle w:val="BodyText"/>
      </w:pPr>
      <w:r>
        <w:t>An emission of arbitrarily small particles can be followed in a similar way with a passive s</w:t>
      </w:r>
      <w:r w:rsidR="007F0C84">
        <w:t>calar having a localised source which is</w:t>
      </w:r>
      <w:r w:rsidR="00BE76AA">
        <w:t>, in</w:t>
      </w:r>
      <w:r>
        <w:t xml:space="preserve"> </w:t>
      </w:r>
      <w:r w:rsidR="00D66141">
        <w:t>this</w:t>
      </w:r>
      <w:r>
        <w:t xml:space="preserve"> case</w:t>
      </w:r>
      <w:r w:rsidR="00D66141">
        <w:t>,</w:t>
      </w:r>
      <w:r>
        <w:t xml:space="preserve"> in a specific FA of the first ring. Using a source which is constant in time, one can see on</w:t>
      </w:r>
      <w:r w:rsidR="00334271">
        <w:t xml:space="preserve"> </w:t>
      </w:r>
      <w:fldSimple w:instr=" REF _Ref477955235 \h  \* MERGEFORMAT ">
        <w:r w:rsidR="003B7F32">
          <w:t>Figure 28</w:t>
        </w:r>
      </w:fldSimple>
      <w:r w:rsidR="00334271">
        <w:t xml:space="preserve"> left</w:t>
      </w:r>
      <w:r w:rsidR="007F0C84">
        <w:t xml:space="preserve"> that the diffusion is strong enough so that all information is lost on the origin of the pollutant when it reaches the core bottom</w:t>
      </w:r>
      <w:r w:rsidR="00334271">
        <w:t xml:space="preserve">. Instead, if the source is a pulse, that is </w:t>
      </w:r>
      <w:r w:rsidR="007F0C84">
        <w:t xml:space="preserve">if the source is </w:t>
      </w:r>
      <w:r w:rsidR="00334271">
        <w:t xml:space="preserve">also localised in time, we </w:t>
      </w:r>
      <w:r w:rsidR="000440B4">
        <w:t xml:space="preserve">can </w:t>
      </w:r>
      <w:r w:rsidR="00334271">
        <w:t>monitor how and with what delay the scalar passes through different positions such as the HX or the pump inlets</w:t>
      </w:r>
      <w:r w:rsidR="000440B4">
        <w:t xml:space="preserve">, as shown in </w:t>
      </w:r>
      <w:fldSimple w:instr=" REF _Ref477955235 \h  \* MERGEFORMAT ">
        <w:r w:rsidR="003B7F32">
          <w:t>Figure 28</w:t>
        </w:r>
      </w:fldSimple>
      <w:r w:rsidR="000440B4">
        <w:t xml:space="preserve"> right</w:t>
      </w:r>
      <w:r w:rsidR="00334271">
        <w:t>.</w:t>
      </w:r>
    </w:p>
    <w:p w:rsidR="003F336C" w:rsidRDefault="003F336C" w:rsidP="00D2372C"/>
    <w:p w:rsidR="003F336C" w:rsidRDefault="003F336C" w:rsidP="00D57146">
      <w:pPr>
        <w:keepNext/>
        <w:jc w:val="center"/>
      </w:pPr>
      <w:r>
        <w:rPr>
          <w:noProof/>
          <w:lang w:eastAsia="en-GB"/>
        </w:rPr>
        <w:drawing>
          <wp:inline distT="0" distB="0" distL="0" distR="0">
            <wp:extent cx="1857375" cy="2819178"/>
            <wp:effectExtent l="0" t="0" r="0" b="635"/>
            <wp:docPr id="2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rotWithShape="1">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636" r="29846"/>
                    <a:stretch/>
                  </pic:blipFill>
                  <pic:spPr bwMode="auto">
                    <a:xfrm>
                      <a:off x="0" y="0"/>
                      <a:ext cx="1869552" cy="28376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334271">
        <w:rPr>
          <w:noProof/>
          <w:lang w:eastAsia="en-GB"/>
        </w:rPr>
        <w:drawing>
          <wp:inline distT="0" distB="0" distL="0" distR="0">
            <wp:extent cx="3112978" cy="2847975"/>
            <wp:effectExtent l="0" t="0" r="0" b="0"/>
            <wp:docPr id="2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rotWithShape="1">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20" t="13848" r="33827" b="6432"/>
                    <a:stretch/>
                  </pic:blipFill>
                  <pic:spPr>
                    <a:xfrm>
                      <a:off x="0" y="0"/>
                      <a:ext cx="3117338" cy="2851963"/>
                    </a:xfrm>
                    <a:prstGeom prst="rect">
                      <a:avLst/>
                    </a:prstGeom>
                  </pic:spPr>
                </pic:pic>
              </a:graphicData>
            </a:graphic>
          </wp:inline>
        </w:drawing>
      </w:r>
    </w:p>
    <w:p w:rsidR="003F336C" w:rsidRDefault="003F336C" w:rsidP="00D57146">
      <w:pPr>
        <w:pStyle w:val="Caption"/>
        <w:jc w:val="center"/>
      </w:pPr>
      <w:bookmarkStart w:id="58" w:name="_Ref477955235"/>
      <w:r>
        <w:t xml:space="preserve">Figure </w:t>
      </w:r>
      <w:r w:rsidR="00066E55">
        <w:fldChar w:fldCharType="begin"/>
      </w:r>
      <w:r>
        <w:instrText xml:space="preserve"> SEQ Figure \* ARABIC </w:instrText>
      </w:r>
      <w:r w:rsidR="00066E55">
        <w:fldChar w:fldCharType="separate"/>
      </w:r>
      <w:r w:rsidR="003B7F32">
        <w:rPr>
          <w:noProof/>
        </w:rPr>
        <w:t>28</w:t>
      </w:r>
      <w:r w:rsidR="00066E55">
        <w:fldChar w:fldCharType="end"/>
      </w:r>
      <w:bookmarkEnd w:id="58"/>
      <w:r w:rsidR="00334271">
        <w:t>: MYRRHA model. Left: dispersion of a passive scalar produced in a central FA. Right: history of a pulse of passive scalar from the core monitoring the flux at different positions.</w:t>
      </w:r>
    </w:p>
    <w:p w:rsidR="00D2372C" w:rsidRDefault="00D2372C" w:rsidP="00D2372C"/>
    <w:p w:rsidR="00D2372C" w:rsidRDefault="00D2372C" w:rsidP="00D2372C">
      <w:pPr>
        <w:sectPr w:rsidR="00D2372C" w:rsidSect="004E0C62">
          <w:footerReference w:type="even" r:id="rId74"/>
          <w:footerReference w:type="default" r:id="rId75"/>
          <w:type w:val="continuous"/>
          <w:pgSz w:w="11906" w:h="16838" w:code="9"/>
          <w:pgMar w:top="1701" w:right="1418" w:bottom="1814" w:left="1418" w:header="720" w:footer="720" w:gutter="0"/>
          <w:cols w:space="720"/>
        </w:sectPr>
      </w:pPr>
    </w:p>
    <w:p w:rsidR="00BC6FB1" w:rsidRDefault="009D745C" w:rsidP="00BC6FB1">
      <w:pPr>
        <w:pStyle w:val="Heading3"/>
      </w:pPr>
      <w:bookmarkStart w:id="59" w:name="_Toc478990097"/>
      <w:proofErr w:type="spellStart"/>
      <w:r>
        <w:lastRenderedPageBreak/>
        <w:t>Lagrangian</w:t>
      </w:r>
      <w:proofErr w:type="spellEnd"/>
      <w:r>
        <w:t xml:space="preserve"> particulate</w:t>
      </w:r>
      <w:bookmarkEnd w:id="59"/>
    </w:p>
    <w:p w:rsidR="007D0E98" w:rsidRDefault="009D745C" w:rsidP="00BE76AA">
      <w:pPr>
        <w:pStyle w:val="BodyText"/>
      </w:pPr>
      <w:r>
        <w:t xml:space="preserve">The passive scalar tool has strong limitations. The scalar can be </w:t>
      </w:r>
      <w:proofErr w:type="spellStart"/>
      <w:r>
        <w:t>convected</w:t>
      </w:r>
      <w:proofErr w:type="spellEnd"/>
      <w:r>
        <w:t xml:space="preserve"> only by </w:t>
      </w:r>
      <w:proofErr w:type="gramStart"/>
      <w:r>
        <w:t>the  carrier</w:t>
      </w:r>
      <w:proofErr w:type="gramEnd"/>
      <w:r>
        <w:t xml:space="preserve"> flow velocity and </w:t>
      </w:r>
      <w:r w:rsidR="007F0C84">
        <w:t>is also</w:t>
      </w:r>
      <w:r>
        <w:t xml:space="preserve"> diffused. It cannot have a drift velocity and cannot basically aggregate, limiting the range of physical application. </w:t>
      </w:r>
      <w:proofErr w:type="spellStart"/>
      <w:r>
        <w:t>Lagrangian</w:t>
      </w:r>
      <w:proofErr w:type="spellEnd"/>
      <w:r>
        <w:t xml:space="preserve"> particles instead can have their own density and thus also a buoyancy driven drift velocity</w:t>
      </w:r>
      <w:r w:rsidR="006F07B2">
        <w:t xml:space="preserve">. Here again, upon the hypothesis of small volume fractions, the </w:t>
      </w:r>
      <w:proofErr w:type="spellStart"/>
      <w:r w:rsidR="006F07B2">
        <w:t>Lagrangian</w:t>
      </w:r>
      <w:proofErr w:type="spellEnd"/>
      <w:r w:rsidR="006F07B2">
        <w:t xml:space="preserve"> particles are not supposed to influence the background flow and they can be emitted and followed in an otherwise frozen LBE velocity, temperature and turbulence fields.</w:t>
      </w:r>
    </w:p>
    <w:p w:rsidR="006F07B2" w:rsidRDefault="006F07B2" w:rsidP="00BE76AA">
      <w:pPr>
        <w:pStyle w:val="BodyText"/>
      </w:pPr>
      <w:r>
        <w:t xml:space="preserve">An example is given in </w:t>
      </w:r>
      <w:fldSimple w:instr=" REF _Ref477957261 \h  \* MERGEFORMAT ">
        <w:r w:rsidR="003B7F32">
          <w:t>Figure 29</w:t>
        </w:r>
      </w:fldSimple>
      <w:r w:rsidR="00976F82">
        <w:t xml:space="preserve"> showing the final position of 6000 </w:t>
      </w:r>
      <w:proofErr w:type="spellStart"/>
      <w:r w:rsidR="00976F82">
        <w:t>Lagrangian</w:t>
      </w:r>
      <w:proofErr w:type="spellEnd"/>
      <w:r w:rsidR="00976F82">
        <w:t xml:space="preserve"> particles of 2 different densities and 3 different diameters 800s after being emitted from one of the central FAs</w:t>
      </w:r>
      <w:r w:rsidR="00D66141">
        <w:t xml:space="preserve"> in a ULOF scenario</w:t>
      </w:r>
      <w:r w:rsidR="00976F82">
        <w:t xml:space="preserve">. The larger and heavier particles tend to precipitate above the diaphragm upper plate, the larger and lighter particles tend to agglomerate on the free-surface and the smaller particles tend to be </w:t>
      </w:r>
      <w:r w:rsidR="007F0C84">
        <w:t>kept in</w:t>
      </w:r>
      <w:r w:rsidR="00976F82">
        <w:t xml:space="preserve"> suspension and </w:t>
      </w:r>
      <w:r w:rsidR="007F0C84">
        <w:t xml:space="preserve">to </w:t>
      </w:r>
      <w:r w:rsidR="00976F82">
        <w:t>follow the LBE main flow path.</w:t>
      </w:r>
    </w:p>
    <w:p w:rsidR="006F07B2" w:rsidRDefault="006F07B2" w:rsidP="00BC6FB1"/>
    <w:p w:rsidR="00976F82" w:rsidRDefault="006F07B2" w:rsidP="00D57146">
      <w:pPr>
        <w:keepNext/>
        <w:jc w:val="center"/>
      </w:pPr>
      <w:r>
        <w:rPr>
          <w:noProof/>
          <w:lang w:eastAsia="en-GB"/>
        </w:rPr>
        <w:drawing>
          <wp:inline distT="0" distB="0" distL="0" distR="0">
            <wp:extent cx="2344622" cy="3486150"/>
            <wp:effectExtent l="0" t="0" r="0" b="0"/>
            <wp:docPr id="3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pic:cNvPicPr>
                      <a:picLocks noChangeAspect="1"/>
                    </pic:cNvPicPr>
                  </pic:nvPicPr>
                  <pic:blipFill rotWithShape="1">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816" r="29379"/>
                    <a:stretch/>
                  </pic:blipFill>
                  <pic:spPr>
                    <a:xfrm>
                      <a:off x="0" y="0"/>
                      <a:ext cx="2344622" cy="3486150"/>
                    </a:xfrm>
                    <a:prstGeom prst="rect">
                      <a:avLst/>
                    </a:prstGeom>
                  </pic:spPr>
                </pic:pic>
              </a:graphicData>
            </a:graphic>
          </wp:inline>
        </w:drawing>
      </w:r>
    </w:p>
    <w:p w:rsidR="006F07B2" w:rsidRDefault="00976F82" w:rsidP="00D57146">
      <w:pPr>
        <w:pStyle w:val="Caption"/>
        <w:jc w:val="center"/>
      </w:pPr>
      <w:bookmarkStart w:id="60" w:name="_Ref477957261"/>
      <w:r>
        <w:t xml:space="preserve">Figure </w:t>
      </w:r>
      <w:r w:rsidR="00066E55">
        <w:fldChar w:fldCharType="begin"/>
      </w:r>
      <w:r>
        <w:instrText xml:space="preserve"> SEQ Figure \* ARABIC </w:instrText>
      </w:r>
      <w:r w:rsidR="00066E55">
        <w:fldChar w:fldCharType="separate"/>
      </w:r>
      <w:r w:rsidR="003B7F32">
        <w:rPr>
          <w:noProof/>
        </w:rPr>
        <w:t>29</w:t>
      </w:r>
      <w:r w:rsidR="00066E55">
        <w:fldChar w:fldCharType="end"/>
      </w:r>
      <w:bookmarkEnd w:id="60"/>
      <w:r>
        <w:t xml:space="preserve">: MYRRHA model. </w:t>
      </w:r>
      <w:proofErr w:type="spellStart"/>
      <w:r>
        <w:t>Lagrangian</w:t>
      </w:r>
      <w:proofErr w:type="spellEnd"/>
      <w:r>
        <w:t xml:space="preserve"> particles coloured according to different densities and diameter 800s after emission from one of the central FAs</w:t>
      </w:r>
      <w:r w:rsidR="00D66141">
        <w:t xml:space="preserve"> in a ULOF scenario</w:t>
      </w:r>
      <w:r>
        <w:t>.</w:t>
      </w:r>
    </w:p>
    <w:p w:rsidR="0051124D" w:rsidRDefault="007D0E98" w:rsidP="0051124D">
      <w:r>
        <w:t xml:space="preserve">  </w:t>
      </w:r>
      <w:r w:rsidR="005C7604">
        <w:t xml:space="preserve"> </w:t>
      </w:r>
    </w:p>
    <w:p w:rsidR="00BC6FB1" w:rsidRDefault="009013B0" w:rsidP="009013B0">
      <w:pPr>
        <w:pStyle w:val="Heading2"/>
      </w:pPr>
      <w:bookmarkStart w:id="61" w:name="_Toc478990098"/>
      <w:r>
        <w:lastRenderedPageBreak/>
        <w:t>Beyond simple illustrations</w:t>
      </w:r>
      <w:bookmarkEnd w:id="61"/>
    </w:p>
    <w:p w:rsidR="0067678F" w:rsidRDefault="009013B0" w:rsidP="00BE76AA">
      <w:pPr>
        <w:pStyle w:val="BodyText"/>
      </w:pPr>
      <w:r>
        <w:t xml:space="preserve">Most of the applications shown until now are applied under essentially steady state conditions. They can equally easily be applied, with the due precautions, under transient flow conditions. </w:t>
      </w:r>
      <w:r w:rsidR="0067678F">
        <w:t xml:space="preserve">And in fact, all the modelling is predisposed and makes full sense for transient conditions involving changes in the flow regime such as the loss of one or two pumps. With 3 dimensions in space and one in time, it is however a little complex to refer about 4 dimensional problems on very few 2D paper sheets. </w:t>
      </w:r>
    </w:p>
    <w:p w:rsidR="004D59E9" w:rsidRDefault="009013B0" w:rsidP="00BE76AA">
      <w:pPr>
        <w:pStyle w:val="BodyText"/>
      </w:pPr>
      <w:r>
        <w:t xml:space="preserve">In all that has been presented until now, we have </w:t>
      </w:r>
      <w:r w:rsidR="007F0C84">
        <w:t>implicitly make use of</w:t>
      </w:r>
      <w:r>
        <w:t xml:space="preserve"> the (U</w:t>
      </w:r>
      <w:proofErr w:type="gramStart"/>
      <w:r>
        <w:t>)RANS</w:t>
      </w:r>
      <w:proofErr w:type="gramEnd"/>
      <w:r>
        <w:t xml:space="preserve"> framework</w:t>
      </w:r>
      <w:r w:rsidR="0067678F">
        <w:t xml:space="preserve"> as a simple given tool. Now that we have some idea on what the tool can do, it is time to inquire a little deeper on what is the tool made of and </w:t>
      </w:r>
      <w:r w:rsidR="00BB5696">
        <w:t>precise somewhat more its</w:t>
      </w:r>
      <w:r w:rsidR="0067678F">
        <w:t xml:space="preserve"> range of</w:t>
      </w:r>
      <w:r w:rsidR="00BB5696">
        <w:t xml:space="preserve"> application.</w:t>
      </w:r>
      <w:r w:rsidR="0067678F">
        <w:t xml:space="preserve"> </w:t>
      </w:r>
    </w:p>
    <w:p w:rsidR="009E7ED6" w:rsidRDefault="00F4376F">
      <w:pPr>
        <w:pStyle w:val="Heading1"/>
      </w:pPr>
      <w:bookmarkStart w:id="62" w:name="_Toc478990099"/>
      <w:r>
        <w:t>Numerical developments towa</w:t>
      </w:r>
      <w:r w:rsidR="00FB765A">
        <w:t>rd transient simulations</w:t>
      </w:r>
      <w:bookmarkEnd w:id="62"/>
    </w:p>
    <w:p w:rsidR="00BE76AA" w:rsidRDefault="00BE76AA" w:rsidP="00BE76AA">
      <w:pPr>
        <w:pStyle w:val="BodyText"/>
      </w:pPr>
    </w:p>
    <w:p w:rsidR="00EF402E" w:rsidRDefault="00FF1561" w:rsidP="00BE76AA">
      <w:pPr>
        <w:pStyle w:val="BodyText"/>
      </w:pPr>
      <w:r w:rsidRPr="00BE76AA">
        <w:t>In the following</w:t>
      </w:r>
      <w:r w:rsidR="00D66141" w:rsidRPr="00BE76AA">
        <w:t>,</w:t>
      </w:r>
      <w:r w:rsidR="00EF402E" w:rsidRPr="00BE76AA">
        <w:t xml:space="preserve"> the reactor in</w:t>
      </w:r>
      <w:r w:rsidR="008428AD" w:rsidRPr="00BE76AA">
        <w:t xml:space="preserve"> nominal operation is </w:t>
      </w:r>
      <w:r w:rsidR="00D66141" w:rsidRPr="00BE76AA">
        <w:t>analysed,</w:t>
      </w:r>
      <w:r w:rsidR="008428AD" w:rsidRPr="00BE76AA">
        <w:t xml:space="preserve"> based on the setup constructed in the von Karman Institute</w:t>
      </w:r>
      <w:r w:rsidR="00EF402E" w:rsidRPr="00BE76AA">
        <w:t>. Since the level of the free surfaces are constant in this scenario, the resolution of the free surface is not strictly needed, so two approaches were taken: a single phase simulation was performed to get insight to the flow and thermal fields of the reactor, then a multiphase solution was considered to initialize later transient simulations with changing positions of the free surface levels, such as primary pump start up and shut down or accident scenarios e.g. primary pump failure.</w:t>
      </w:r>
    </w:p>
    <w:p w:rsidR="00EF402E" w:rsidRDefault="00EF402E" w:rsidP="009C18D6"/>
    <w:p w:rsidR="00426EE3" w:rsidRDefault="00426EE3" w:rsidP="00426EE3">
      <w:pPr>
        <w:pStyle w:val="Heading2"/>
      </w:pPr>
      <w:bookmarkStart w:id="63" w:name="_Toc478990100"/>
      <w:r>
        <w:t>General flow field</w:t>
      </w:r>
      <w:bookmarkEnd w:id="63"/>
    </w:p>
    <w:p w:rsidR="007879AC" w:rsidRPr="00BE76AA" w:rsidRDefault="007879AC" w:rsidP="00BE76AA">
      <w:pPr>
        <w:pStyle w:val="BodyText"/>
      </w:pPr>
      <w:r w:rsidRPr="00BE76AA">
        <w:t xml:space="preserve">The first objective of the full power simulation is to get an insight </w:t>
      </w:r>
      <w:r w:rsidR="004A7317" w:rsidRPr="00BE76AA">
        <w:t xml:space="preserve">on </w:t>
      </w:r>
      <w:r w:rsidRPr="00BE76AA">
        <w:t xml:space="preserve">the large flow patterns that develop within the reactor. These </w:t>
      </w:r>
      <w:r w:rsidR="004A7317" w:rsidRPr="00BE76AA">
        <w:t xml:space="preserve">ones </w:t>
      </w:r>
      <w:r w:rsidRPr="00BE76AA">
        <w:t xml:space="preserve">are essential to get a general understanding of the flow field and </w:t>
      </w:r>
      <w:r w:rsidR="004A7317" w:rsidRPr="00BE76AA">
        <w:t xml:space="preserve">to </w:t>
      </w:r>
      <w:r w:rsidRPr="00BE76AA">
        <w:t>identify possible areas where low LBE refresh rates may occur. Indeed, such stagnant zones need to be avoided since oxygen control has to be kept within narrow limits. The second objective of this simulation is to evaluate the temperature distribution on the different components for stress evaluations.</w:t>
      </w:r>
    </w:p>
    <w:p w:rsidR="007879AC" w:rsidRDefault="007879AC" w:rsidP="007879AC"/>
    <w:p w:rsidR="007879AC" w:rsidRDefault="007879AC" w:rsidP="00D57146">
      <w:pPr>
        <w:spacing w:before="120" w:after="120"/>
        <w:jc w:val="center"/>
        <w:rPr>
          <w:noProof/>
          <w:lang w:eastAsia="fr-BE"/>
        </w:rPr>
      </w:pPr>
      <w:bookmarkStart w:id="64" w:name="_Toc361410350"/>
      <w:r>
        <w:rPr>
          <w:noProof/>
          <w:lang w:eastAsia="en-GB"/>
        </w:rPr>
        <w:lastRenderedPageBreak/>
        <w:drawing>
          <wp:inline distT="0" distB="0" distL="0" distR="0">
            <wp:extent cx="3452813" cy="2168841"/>
            <wp:effectExtent l="19050" t="0" r="0" b="0"/>
            <wp:docPr id="301065" name="Picture 13" descr="Stream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amlines.png"/>
                    <pic:cNvPicPr/>
                  </pic:nvPicPr>
                  <pic:blipFill>
                    <a:blip r:embed="rId77" cstate="print"/>
                    <a:stretch>
                      <a:fillRect/>
                    </a:stretch>
                  </pic:blipFill>
                  <pic:spPr>
                    <a:xfrm>
                      <a:off x="0" y="0"/>
                      <a:ext cx="3454238" cy="2169736"/>
                    </a:xfrm>
                    <a:prstGeom prst="rect">
                      <a:avLst/>
                    </a:prstGeom>
                  </pic:spPr>
                </pic:pic>
              </a:graphicData>
            </a:graphic>
          </wp:inline>
        </w:drawing>
      </w:r>
    </w:p>
    <w:p w:rsidR="007879AC" w:rsidRDefault="007879AC" w:rsidP="00D57146">
      <w:pPr>
        <w:pStyle w:val="Caption"/>
        <w:spacing w:after="120" w:line="240" w:lineRule="auto"/>
        <w:jc w:val="center"/>
      </w:pPr>
      <w:bookmarkStart w:id="65" w:name="_Ref355283264"/>
      <w:r w:rsidRPr="009D7EED">
        <w:t xml:space="preserve">Figure </w:t>
      </w:r>
      <w:r w:rsidR="00066E55">
        <w:fldChar w:fldCharType="begin"/>
      </w:r>
      <w:r w:rsidR="0077354E">
        <w:instrText xml:space="preserve"> SEQ Figure \* ARABIC </w:instrText>
      </w:r>
      <w:r w:rsidR="00066E55">
        <w:fldChar w:fldCharType="separate"/>
      </w:r>
      <w:r w:rsidR="003B7F32">
        <w:rPr>
          <w:noProof/>
        </w:rPr>
        <w:t>30</w:t>
      </w:r>
      <w:r w:rsidR="00066E55">
        <w:rPr>
          <w:noProof/>
        </w:rPr>
        <w:fldChar w:fldCharType="end"/>
      </w:r>
      <w:bookmarkEnd w:id="65"/>
      <w:r w:rsidRPr="009D7EED">
        <w:t>: a) Velocity contours and streamlines in the vertical symmetry planes b) Streamlines in the barrel region</w:t>
      </w:r>
    </w:p>
    <w:p w:rsidR="007879AC" w:rsidRPr="00A4111F" w:rsidRDefault="007879AC" w:rsidP="007879AC"/>
    <w:bookmarkEnd w:id="64"/>
    <w:p w:rsidR="007879AC" w:rsidRPr="00BE76AA" w:rsidRDefault="007879AC" w:rsidP="00BE76AA">
      <w:pPr>
        <w:pStyle w:val="BodyText"/>
      </w:pPr>
      <w:r w:rsidRPr="00BE76AA">
        <w:t xml:space="preserve">The overall pressure drop through the primary coolant loop is 2.57 bars. One of the most important parameters of the reactor is the pressure drop through the core. We recall that a pressure drop of 1.7 bars is expected in the core region while about 2 bars should be obtained between the Cold Plenum and Hot Plenum, respectively. The resulting values from the simulation indicate very small differences of less than 2 % both </w:t>
      </w:r>
      <w:r w:rsidR="004A7317" w:rsidRPr="00BE76AA">
        <w:t xml:space="preserve">in </w:t>
      </w:r>
      <w:r w:rsidRPr="00BE76AA">
        <w:t xml:space="preserve">the core and between the Cold Plenum and Hot Plenum. The maximum pressure difference </w:t>
      </w:r>
      <w:r w:rsidR="004A7317" w:rsidRPr="00BE76AA">
        <w:t>over</w:t>
      </w:r>
      <w:r w:rsidRPr="00BE76AA">
        <w:t xml:space="preserve"> the barrel </w:t>
      </w:r>
      <w:r w:rsidR="004A7317" w:rsidRPr="00BE76AA">
        <w:t xml:space="preserve">free surface </w:t>
      </w:r>
      <w:r w:rsidRPr="00BE76AA">
        <w:t xml:space="preserve">and </w:t>
      </w:r>
      <w:r w:rsidR="004A7317" w:rsidRPr="00BE76AA">
        <w:t xml:space="preserve">over the </w:t>
      </w:r>
      <w:r w:rsidRPr="00BE76AA">
        <w:t xml:space="preserve">Hot Plenum free-surface is at most 1.5 </w:t>
      </w:r>
      <w:proofErr w:type="spellStart"/>
      <w:r w:rsidRPr="00BE76AA">
        <w:t>kPa</w:t>
      </w:r>
      <w:proofErr w:type="spellEnd"/>
      <w:r w:rsidRPr="00BE76AA">
        <w:t xml:space="preserve">. This would be equivalent to a height variation of 1.5 cm, therefore underlying the practically flat aspect of these surfaces. This confirms that </w:t>
      </w:r>
      <w:proofErr w:type="spellStart"/>
      <w:r w:rsidRPr="00BE76AA">
        <w:t>modeling</w:t>
      </w:r>
      <w:proofErr w:type="spellEnd"/>
      <w:r w:rsidRPr="00BE76AA">
        <w:t xml:space="preserve"> the free-surfaces as a zero-shear slip wall is acceptable for this operational condition.</w:t>
      </w:r>
    </w:p>
    <w:p w:rsidR="007879AC" w:rsidRPr="00BE76AA" w:rsidRDefault="007879AC" w:rsidP="00BE76AA">
      <w:pPr>
        <w:pStyle w:val="BodyText"/>
      </w:pPr>
      <w:r w:rsidRPr="00BE76AA">
        <w:t xml:space="preserve">A general description of the flow field can now be proposed based on the flow streamlines shown in </w:t>
      </w:r>
      <w:fldSimple w:instr=" REF _Ref355283264 \h  \* MERGEFORMAT ">
        <w:r w:rsidR="003B7F32" w:rsidRPr="009D7EED">
          <w:t xml:space="preserve">Figure </w:t>
        </w:r>
        <w:r w:rsidR="003B7F32">
          <w:t>30</w:t>
        </w:r>
      </w:fldSimple>
      <w:r w:rsidRPr="00BE76AA">
        <w:t xml:space="preserve">. The two pump jets first impact the bottom of the vessel before merging in the centre of the lower plenum leading to an upward flow directed towards the core. The flow is distributed as expected through the different core rings. Within the above core structures a central upward plume is formed going </w:t>
      </w:r>
      <w:r w:rsidR="004A7317" w:rsidRPr="00BE76AA">
        <w:t xml:space="preserve">up to </w:t>
      </w:r>
      <w:r w:rsidRPr="00BE76AA">
        <w:t>the free surface level.  Once the flow reaches the free-surface, part of it exits through the last row of barrel holes but a large portion goes back down into the barrel before exiting through the other rows of holes down</w:t>
      </w:r>
      <w:r w:rsidR="004A7317" w:rsidRPr="00BE76AA">
        <w:t xml:space="preserve"> below</w:t>
      </w:r>
      <w:r w:rsidRPr="00BE76AA">
        <w:t xml:space="preserve">. Finally, the flow in the upper plenum goes back into the Heat Exchangers. Contours of velocity are given in </w:t>
      </w:r>
      <w:fldSimple w:instr=" REF _Ref355278948 \h  \* MERGEFORMAT ">
        <w:r w:rsidR="003B7F32" w:rsidRPr="00203332">
          <w:t xml:space="preserve">Figure </w:t>
        </w:r>
        <w:r w:rsidR="003B7F32">
          <w:t>31</w:t>
        </w:r>
      </w:fldSimple>
      <w:r w:rsidRPr="00BE76AA">
        <w:t xml:space="preserve"> in the two vertical symmetry planes (indicated on the top view), with levels between 0-1 m/s and saturated above. The nominal mass flow rate leads to a maximum velocity of 2.37 m/s in the pumps.</w:t>
      </w:r>
    </w:p>
    <w:p w:rsidR="007879AC" w:rsidRPr="009F4643" w:rsidRDefault="007879AC" w:rsidP="007879AC"/>
    <w:p w:rsidR="007879AC" w:rsidRDefault="00066E55" w:rsidP="00D57146">
      <w:pPr>
        <w:keepNext/>
        <w:spacing w:before="120" w:after="120"/>
        <w:jc w:val="center"/>
      </w:pPr>
      <w:r w:rsidRPr="00066E55">
        <w:rPr>
          <w:noProof/>
          <w:lang w:val="en-US"/>
        </w:rPr>
        <w:lastRenderedPageBreak/>
        <w:pict>
          <v:shapetype id="_x0000_t32" coordsize="21600,21600" o:spt="32" o:oned="t" path="m,l21600,21600e" filled="f">
            <v:path arrowok="t" fillok="f" o:connecttype="none"/>
            <o:lock v:ext="edit" shapetype="t"/>
          </v:shapetype>
          <v:shape id="AutoShape 6" o:spid="_x0000_s1026" type="#_x0000_t32" style="position:absolute;left:0;text-align:left;margin-left:315.45pt;margin-top:19.85pt;width:.05pt;height:135.2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
            <v:stroke dashstyle="dash"/>
          </v:shape>
        </w:pict>
      </w:r>
      <w:r w:rsidRPr="00066E55">
        <w:rPr>
          <w:noProof/>
          <w:lang w:val="en-US"/>
        </w:rPr>
        <w:pict>
          <v:shape id="AutoShape 5" o:spid="_x0000_s1041" type="#_x0000_t32" style="position:absolute;left:0;text-align:left;margin-left:248.45pt;margin-top:82.2pt;width:138.6pt;height:.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
            <v:stroke dashstyle="dash"/>
          </v:shape>
        </w:pict>
      </w:r>
      <w:r w:rsidRPr="00066E55">
        <w:rPr>
          <w:noProof/>
          <w:lang w:val="en-US"/>
        </w:rPr>
        <w:pict>
          <v:rect id="Rectangle 3" o:spid="_x0000_s1040" style="position:absolute;left:0;text-align:left;margin-left:250.75pt;margin-top:14.35pt;width:36.4pt;height:1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stroked="f"/>
        </w:pict>
      </w:r>
      <w:r w:rsidRPr="00066E55">
        <w:rPr>
          <w:noProof/>
          <w:lang w:val="en-US"/>
        </w:rPr>
        <w:pict>
          <v:rect id="Rectangle 2" o:spid="_x0000_s1039" style="position:absolute;left:0;text-align:left;margin-left:175.3pt;margin-top:8.25pt;width:35.85pt;height:1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stroked="f"/>
        </w:pict>
      </w:r>
      <w:r w:rsidR="007879AC" w:rsidRPr="001D3970">
        <w:rPr>
          <w:noProof/>
          <w:lang w:eastAsia="en-GB"/>
        </w:rPr>
        <w:drawing>
          <wp:inline distT="0" distB="0" distL="0" distR="0">
            <wp:extent cx="1416926" cy="1843088"/>
            <wp:effectExtent l="19050" t="0" r="0" b="0"/>
            <wp:docPr id="301066" name="Picture 8" descr="z_velo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7" descr="z_velocity.jpg"/>
                    <pic:cNvPicPr>
                      <a:picLocks noChangeAspect="1"/>
                    </pic:cNvPicPr>
                  </pic:nvPicPr>
                  <pic:blipFill>
                    <a:blip r:embed="rId78" cstate="print"/>
                    <a:srcRect l="24335" t="14429" r="25322" b="15886"/>
                    <a:stretch>
                      <a:fillRect/>
                    </a:stretch>
                  </pic:blipFill>
                  <pic:spPr bwMode="auto">
                    <a:xfrm>
                      <a:off x="0" y="0"/>
                      <a:ext cx="1416926" cy="1843088"/>
                    </a:xfrm>
                    <a:prstGeom prst="rect">
                      <a:avLst/>
                    </a:prstGeom>
                    <a:noFill/>
                    <a:ln w="9525">
                      <a:noFill/>
                      <a:miter lim="800000"/>
                      <a:headEnd/>
                      <a:tailEnd/>
                    </a:ln>
                  </pic:spPr>
                </pic:pic>
              </a:graphicData>
            </a:graphic>
          </wp:inline>
        </w:drawing>
      </w:r>
      <w:r w:rsidR="007879AC" w:rsidRPr="006966AF">
        <w:rPr>
          <w:noProof/>
          <w:lang w:eastAsia="en-GB"/>
        </w:rPr>
        <w:drawing>
          <wp:inline distT="0" distB="0" distL="0" distR="0">
            <wp:extent cx="1393404" cy="1800000"/>
            <wp:effectExtent l="19050" t="0" r="0" b="0"/>
            <wp:docPr id="301067" name="Picture 9" descr="SEARCH_vel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Picture 9" descr="SEARCH_vel_x.jpg"/>
                    <pic:cNvPicPr>
                      <a:picLocks noChangeAspect="1"/>
                    </pic:cNvPicPr>
                  </pic:nvPicPr>
                  <pic:blipFill>
                    <a:blip r:embed="rId79" cstate="print"/>
                    <a:srcRect/>
                    <a:stretch>
                      <a:fillRect/>
                    </a:stretch>
                  </pic:blipFill>
                  <pic:spPr bwMode="auto">
                    <a:xfrm>
                      <a:off x="0" y="0"/>
                      <a:ext cx="1393404" cy="1800000"/>
                    </a:xfrm>
                    <a:prstGeom prst="rect">
                      <a:avLst/>
                    </a:prstGeom>
                    <a:noFill/>
                    <a:ln w="9525">
                      <a:noFill/>
                      <a:miter lim="800000"/>
                      <a:headEnd/>
                      <a:tailEnd/>
                    </a:ln>
                  </pic:spPr>
                </pic:pic>
              </a:graphicData>
            </a:graphic>
          </wp:inline>
        </w:drawing>
      </w:r>
      <w:r w:rsidR="007879AC" w:rsidRPr="00281C86">
        <w:rPr>
          <w:noProof/>
          <w:lang w:eastAsia="en-GB"/>
        </w:rPr>
        <w:drawing>
          <wp:inline distT="0" distB="0" distL="0" distR="0">
            <wp:extent cx="1664124" cy="1695450"/>
            <wp:effectExtent l="19050" t="0" r="0" b="0"/>
            <wp:docPr id="301068" name="Picture 4" descr="Umagn_yfree_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agn_yfree_OF.png"/>
                    <pic:cNvPicPr/>
                  </pic:nvPicPr>
                  <pic:blipFill>
                    <a:blip r:embed="rId80" cstate="print"/>
                    <a:stretch>
                      <a:fillRect/>
                    </a:stretch>
                  </pic:blipFill>
                  <pic:spPr>
                    <a:xfrm>
                      <a:off x="0" y="0"/>
                      <a:ext cx="1664124" cy="1695450"/>
                    </a:xfrm>
                    <a:prstGeom prst="rect">
                      <a:avLst/>
                    </a:prstGeom>
                  </pic:spPr>
                </pic:pic>
              </a:graphicData>
            </a:graphic>
          </wp:inline>
        </w:drawing>
      </w:r>
      <w:r w:rsidR="007879AC" w:rsidRPr="00AC658A">
        <w:rPr>
          <w:noProof/>
          <w:lang w:eastAsia="en-GB"/>
        </w:rPr>
        <w:drawing>
          <wp:inline distT="0" distB="0" distL="0" distR="0">
            <wp:extent cx="995362" cy="1552636"/>
            <wp:effectExtent l="19050" t="0" r="0" b="0"/>
            <wp:docPr id="3010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pic:cNvPicPr>
                      <a:picLocks noChangeAspect="1" noChangeArrowheads="1"/>
                    </pic:cNvPicPr>
                  </pic:nvPicPr>
                  <pic:blipFill>
                    <a:blip r:embed="rId81" cstate="print"/>
                    <a:srcRect l="74074" t="45155" b="3564"/>
                    <a:stretch>
                      <a:fillRect/>
                    </a:stretch>
                  </pic:blipFill>
                  <pic:spPr bwMode="auto">
                    <a:xfrm>
                      <a:off x="0" y="0"/>
                      <a:ext cx="997648" cy="1556201"/>
                    </a:xfrm>
                    <a:prstGeom prst="rect">
                      <a:avLst/>
                    </a:prstGeom>
                    <a:noFill/>
                    <a:ln w="9525">
                      <a:noFill/>
                      <a:round/>
                      <a:headEnd/>
                      <a:tailEnd/>
                    </a:ln>
                  </pic:spPr>
                </pic:pic>
              </a:graphicData>
            </a:graphic>
          </wp:inline>
        </w:drawing>
      </w:r>
    </w:p>
    <w:p w:rsidR="007879AC" w:rsidRDefault="007879AC" w:rsidP="00D57146">
      <w:pPr>
        <w:pStyle w:val="Caption"/>
        <w:jc w:val="center"/>
      </w:pPr>
      <w:bookmarkStart w:id="66" w:name="_Ref355278948"/>
      <w:r w:rsidRPr="00203332">
        <w:t xml:space="preserve">Figure </w:t>
      </w:r>
      <w:r w:rsidR="00066E55" w:rsidRPr="00F324EC">
        <w:rPr>
          <w:b/>
        </w:rPr>
        <w:fldChar w:fldCharType="begin"/>
      </w:r>
      <w:r w:rsidRPr="00203332">
        <w:instrText xml:space="preserve"> SEQ Figure \* ARABIC </w:instrText>
      </w:r>
      <w:r w:rsidR="00066E55" w:rsidRPr="00F324EC">
        <w:rPr>
          <w:b/>
        </w:rPr>
        <w:fldChar w:fldCharType="separate"/>
      </w:r>
      <w:r w:rsidR="003B7F32">
        <w:rPr>
          <w:noProof/>
        </w:rPr>
        <w:t>31</w:t>
      </w:r>
      <w:r w:rsidR="00066E55" w:rsidRPr="00F324EC">
        <w:rPr>
          <w:b/>
        </w:rPr>
        <w:fldChar w:fldCharType="end"/>
      </w:r>
      <w:bookmarkEnd w:id="66"/>
      <w:r w:rsidRPr="00203332">
        <w:t>: Velocity magnitude contours in the vertical symmetry plane z=0</w:t>
      </w:r>
    </w:p>
    <w:p w:rsidR="007879AC" w:rsidRPr="006238BF" w:rsidRDefault="007879AC" w:rsidP="007879AC"/>
    <w:p w:rsidR="007879AC" w:rsidRPr="00BE76AA" w:rsidRDefault="007879AC" w:rsidP="00BE76AA">
      <w:pPr>
        <w:pStyle w:val="BodyText"/>
      </w:pPr>
      <w:r w:rsidRPr="00BE76AA">
        <w:t>As for the flow in the symmetry plane cutting the barrel holes, long vertical jets originating from the different core rings appear in the Above Core Structure. Unlike in the perpendicular plane, mixing is limited and the LBE exits progressively through the barrel holes. The jets from the holes facing the IVFHM collide with the chimney structures.</w:t>
      </w:r>
    </w:p>
    <w:p w:rsidR="007879AC" w:rsidRPr="00426EE3" w:rsidRDefault="007879AC" w:rsidP="00426EE3">
      <w:pPr>
        <w:pStyle w:val="Heading2"/>
      </w:pPr>
      <w:bookmarkStart w:id="67" w:name="_Toc478990101"/>
      <w:r w:rsidRPr="00426EE3">
        <w:t>Verification of the porous core approach</w:t>
      </w:r>
      <w:bookmarkEnd w:id="67"/>
    </w:p>
    <w:p w:rsidR="007879AC" w:rsidRPr="00BE76AA" w:rsidRDefault="007879AC" w:rsidP="00BE76AA">
      <w:pPr>
        <w:pStyle w:val="BodyText"/>
      </w:pPr>
      <w:r w:rsidRPr="00BE76AA">
        <w:t xml:space="preserve">One of the important </w:t>
      </w:r>
      <w:proofErr w:type="spellStart"/>
      <w:r w:rsidRPr="00BE76AA">
        <w:t>modeling</w:t>
      </w:r>
      <w:proofErr w:type="spellEnd"/>
      <w:r w:rsidRPr="00BE76AA">
        <w:t xml:space="preserve"> requirements to </w:t>
      </w:r>
      <w:proofErr w:type="spellStart"/>
      <w:r w:rsidRPr="00BE76AA">
        <w:t>fulfill</w:t>
      </w:r>
      <w:proofErr w:type="spellEnd"/>
      <w:r w:rsidRPr="00BE76AA">
        <w:t xml:space="preserve"> is to approach the desired mass flow rate distribution in between the different core rings. A good agreement is obtained with the proposed porosity and resistance settings in the porous media of the core. The relative differences compared to the desired flow rates stay below 5%. These differences remain acceptable and no further adjustment is required.</w:t>
      </w:r>
    </w:p>
    <w:p w:rsidR="00F53CED" w:rsidRPr="00BE76AA" w:rsidRDefault="00F53CED" w:rsidP="00BE76AA">
      <w:pPr>
        <w:pStyle w:val="BodyText"/>
      </w:pPr>
    </w:p>
    <w:p w:rsidR="007879AC" w:rsidRPr="00BE76AA" w:rsidRDefault="007879AC" w:rsidP="00BE76AA">
      <w:pPr>
        <w:pStyle w:val="BodyText"/>
      </w:pPr>
      <w:r w:rsidRPr="00BE76AA">
        <w:t xml:space="preserve">The various heat sources and sinks used for thermal </w:t>
      </w:r>
      <w:proofErr w:type="spellStart"/>
      <w:r w:rsidRPr="00BE76AA">
        <w:t>modeling</w:t>
      </w:r>
      <w:proofErr w:type="spellEnd"/>
      <w:r w:rsidRPr="00BE76AA">
        <w:t xml:space="preserve"> result in substantial temperature variations throughout the reactor. We recall that 100 MW is injected across the core and an additional </w:t>
      </w:r>
      <w:r w:rsidR="00F34607" w:rsidRPr="00BE76AA">
        <w:t xml:space="preserve">total of </w:t>
      </w:r>
      <w:r w:rsidRPr="00BE76AA">
        <w:t xml:space="preserve">2 MW </w:t>
      </w:r>
      <w:r w:rsidR="00F34607" w:rsidRPr="00BE76AA">
        <w:t xml:space="preserve">is </w:t>
      </w:r>
      <w:r w:rsidRPr="00BE76AA">
        <w:t>added in the IVFS, where the used Fuel Assemblies are stored. In steady state</w:t>
      </w:r>
      <w:r w:rsidR="00F34607" w:rsidRPr="00BE76AA">
        <w:t>,</w:t>
      </w:r>
      <w:r w:rsidRPr="00BE76AA">
        <w:t xml:space="preserve"> this same amount of heat (102 MW) is extracted by the four Heat Exchangers since thermal losses to the exterior are </w:t>
      </w:r>
      <w:r w:rsidR="00F34607" w:rsidRPr="00BE76AA">
        <w:t xml:space="preserve">currently </w:t>
      </w:r>
      <w:r w:rsidRPr="00BE76AA">
        <w:t>neglected. The water side temperature, 200°C, of the Heat Exchangers act</w:t>
      </w:r>
      <w:r w:rsidR="00F34607" w:rsidRPr="00BE76AA">
        <w:t>s</w:t>
      </w:r>
      <w:r w:rsidRPr="00BE76AA">
        <w:t xml:space="preserve"> as </w:t>
      </w:r>
      <w:r w:rsidR="00F34607" w:rsidRPr="00BE76AA">
        <w:t xml:space="preserve">a </w:t>
      </w:r>
      <w:r w:rsidRPr="00BE76AA">
        <w:t xml:space="preserve">fixed reference temperature. The turbulent </w:t>
      </w:r>
      <w:proofErr w:type="spellStart"/>
      <w:r w:rsidRPr="00BE76AA">
        <w:t>Prandtl</w:t>
      </w:r>
      <w:proofErr w:type="spellEnd"/>
      <w:r w:rsidRPr="00BE76AA">
        <w:t xml:space="preserve"> number was fixed to 2.8 according to the literature in the following study [10]. Static temperature contours in the vertical symmetry planes are shown in </w:t>
      </w:r>
      <w:fldSimple w:instr=" REF _Ref355339019 \h  \* MERGEFORMAT ">
        <w:r w:rsidR="003B7F32" w:rsidRPr="003E4699">
          <w:t xml:space="preserve">Figure </w:t>
        </w:r>
        <w:r w:rsidR="003B7F32">
          <w:t>32</w:t>
        </w:r>
      </w:fldSimple>
      <w:r w:rsidRPr="00BE76AA">
        <w:t xml:space="preserve">. One can see that due to mixing, the core heat source located in the inner and outer FA rings heats up the flow coming out from the other rings as the flow rises. A maximum temperature of 471 °C is reached in the core. The mass flow average core inlet and outlet temperatures correspond to 272 °C and 344.5 °C respectively, in agreement with an injected power of 100 </w:t>
      </w:r>
      <w:proofErr w:type="gramStart"/>
      <w:r w:rsidRPr="00BE76AA">
        <w:t xml:space="preserve">MW </w:t>
      </w:r>
      <m:oMath>
        <w:proofErr w:type="gramEnd"/>
        <m:d>
          <m:dPr>
            <m:ctrlPr>
              <w:rPr>
                <w:rFonts w:ascii="Cambria Math" w:hAnsi="Cambria Math"/>
              </w:rPr>
            </m:ctrlPr>
          </m:dPr>
          <m:e>
            <m:r>
              <m:rPr>
                <m:sty m:val="p"/>
              </m:rPr>
              <w:rPr>
                <w:rFonts w:ascii="Cambria Math" w:hAnsi="Cambria Math"/>
              </w:rPr>
              <m:t>P=</m:t>
            </m:r>
            <m:acc>
              <m:accPr>
                <m:chr m:val="̇"/>
                <m:ctrlPr>
                  <w:rPr>
                    <w:rFonts w:ascii="Cambria Math" w:hAnsi="Cambria Math"/>
                  </w:rPr>
                </m:ctrlPr>
              </m:accPr>
              <m:e>
                <m:r>
                  <m:rPr>
                    <m:sty m:val="p"/>
                  </m:rPr>
                  <w:rPr>
                    <w:rFonts w:ascii="Cambria Math" w:hAnsi="Cambria Math"/>
                  </w:rPr>
                  <m:t>m</m:t>
                </m:r>
              </m:e>
            </m:acc>
            <m:sSub>
              <m:sSubPr>
                <m:ctrlPr>
                  <w:rPr>
                    <w:rFonts w:ascii="Cambria Math" w:hAnsi="Cambria Math"/>
                  </w:rPr>
                </m:ctrlPr>
              </m:sSubPr>
              <m:e>
                <m:r>
                  <m:rPr>
                    <m:sty m:val="p"/>
                  </m:rPr>
                  <w:rPr>
                    <w:rFonts w:ascii="Cambria Math" w:hAnsi="Cambria Math"/>
                  </w:rPr>
                  <m:t>C</m:t>
                </m:r>
              </m:e>
              <m:sub>
                <m:r>
                  <m:rPr>
                    <m:sty m:val="p"/>
                  </m:rPr>
                  <w:rPr>
                    <w:rFonts w:ascii="Cambria Math" w:hAnsi="Cambria Math"/>
                  </w:rPr>
                  <m:t>p</m:t>
                </m:r>
              </m:sub>
            </m:sSub>
            <m:r>
              <m:rPr>
                <m:sty m:val="p"/>
              </m:rPr>
              <w:rPr>
                <w:rFonts w:ascii="Cambria Math" w:hAnsi="Cambria Math"/>
              </w:rPr>
              <m:t>∆T</m:t>
            </m:r>
          </m:e>
        </m:d>
      </m:oMath>
      <w:r w:rsidRPr="00BE76AA">
        <w:t>.</w:t>
      </w:r>
    </w:p>
    <w:p w:rsidR="007879AC" w:rsidRPr="00041C31" w:rsidRDefault="007879AC" w:rsidP="007879AC">
      <w:pPr>
        <w:jc w:val="both"/>
        <w:rPr>
          <w:shd w:val="clear" w:color="auto" w:fill="FFFFFF"/>
        </w:rPr>
      </w:pPr>
    </w:p>
    <w:p w:rsidR="007879AC" w:rsidRPr="000D2431" w:rsidRDefault="00066E55" w:rsidP="007879AC">
      <w:pPr>
        <w:keepNext/>
        <w:spacing w:before="120" w:after="120"/>
        <w:jc w:val="center"/>
      </w:pPr>
      <w:r w:rsidRPr="00066E55">
        <w:rPr>
          <w:noProof/>
          <w:lang w:val="en-US"/>
        </w:rPr>
      </w:r>
      <w:r w:rsidR="00AD139A" w:rsidRPr="00066E55">
        <w:rPr>
          <w:noProof/>
          <w:lang w:val="en-US"/>
        </w:rPr>
        <w:pict>
          <v:group id="Group 46" o:spid="_x0000_s1038" style="width:31.5pt;height:188.8pt;mso-position-horizontal-relative:char;mso-position-vertical-relative:line" coordorigin="3524,19939" coordsize="9350,44915" o:gfxdat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524;top:24145;width:8477;height:29623;visibility:visible;mso-wrap-style:square" o:gfxdata="">
              <v:stroke joinstyle="round"/>
              <v:imagedata r:id="rId82" o:title="" cropbottom="9907f" cropleft="774f" cropright="52846f"/>
            </v:shape>
            <v:rect id="Rectangle 20" o:spid="_x0000_s1028" style="position:absolute;left:6967;top:27112;width:5892;height:6483;visibility:visible;mso-wrap-style:none;v-text-anchor:middle" o:gfxdata="" stroked="f">
              <v:stroke joinstyle="round"/>
              <v:textbox>
                <w:txbxContent>
                  <w:p w:rsidR="00390B94" w:rsidRDefault="00390B94" w:rsidP="00C924FB"/>
                </w:txbxContent>
              </v:textbox>
            </v:rect>
            <v:shapetype id="_x0000_t202" coordsize="21600,21600" o:spt="202" path="m,l,21600r21600,l21600,xe">
              <v:stroke joinstyle="miter"/>
              <v:path gradientshapeok="t" o:connecttype="rect"/>
            </v:shapetype>
            <v:shape id="Text Box 21" o:spid="_x0000_s1029" type="#_x0000_t202" style="position:absolute;left:6448;top:50890;width:6099;height:13964;visibility:visible;mso-wrap-style:square;v-text-anchor:top" o:gfxdata="" stroked="f">
              <v:stroke joinstyle="round"/>
              <v:textbox style="mso-fit-shape-to-text:t" inset="2.5mm,1.3mm,2.5mm,1.3mm">
                <w:txbxContent>
                  <w:p w:rsidR="00390B94" w:rsidRDefault="00390B94" w:rsidP="00C924FB">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overflowPunct w:val="0"/>
                      <w:spacing w:before="0" w:beforeAutospacing="0" w:after="0" w:afterAutospacing="0" w:line="223" w:lineRule="auto"/>
                      <w:textAlignment w:val="baseline"/>
                    </w:pPr>
                    <w:r>
                      <w:rPr>
                        <w:rFonts w:eastAsia="WenQuanYi Zen Hei" w:cs="WenQuanYi Zen Hei"/>
                        <w:color w:val="0A1E15"/>
                        <w:kern w:val="24"/>
                        <w:sz w:val="32"/>
                        <w:szCs w:val="32"/>
                      </w:rPr>
                      <w:t>270</w:t>
                    </w:r>
                  </w:p>
                </w:txbxContent>
              </v:textbox>
            </v:shape>
            <v:shape id="Text Box 22" o:spid="_x0000_s1030" type="#_x0000_t202" style="position:absolute;left:6448;top:42967;width:6099;height:13965;visibility:visible;mso-wrap-style:square;v-text-anchor:top" o:gfxdata="" stroked="f">
              <v:stroke joinstyle="round"/>
              <v:textbox style="mso-fit-shape-to-text:t" inset="2.5mm,1.3mm,2.5mm,1.3mm">
                <w:txbxContent>
                  <w:p w:rsidR="00390B94" w:rsidRDefault="00390B94" w:rsidP="00C924FB">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overflowPunct w:val="0"/>
                      <w:spacing w:before="0" w:beforeAutospacing="0" w:after="0" w:afterAutospacing="0" w:line="223" w:lineRule="auto"/>
                      <w:textAlignment w:val="baseline"/>
                    </w:pPr>
                    <w:r>
                      <w:rPr>
                        <w:rFonts w:eastAsia="WenQuanYi Zen Hei" w:cs="WenQuanYi Zen Hei"/>
                        <w:color w:val="0A1E15"/>
                        <w:kern w:val="24"/>
                        <w:sz w:val="32"/>
                        <w:szCs w:val="32"/>
                      </w:rPr>
                      <w:t>320</w:t>
                    </w:r>
                  </w:p>
                </w:txbxContent>
              </v:textbox>
            </v:shape>
            <v:shape id="Text Box 23" o:spid="_x0000_s1031" type="#_x0000_t202" style="position:absolute;left:6448;top:33594;width:6099;height:13965;visibility:visible;mso-wrap-style:square;v-text-anchor:top" o:gfxdata="" stroked="f">
              <v:stroke joinstyle="round"/>
              <v:textbox style="mso-fit-shape-to-text:t" inset="2.5mm,1.3mm,2.5mm,1.3mm">
                <w:txbxContent>
                  <w:p w:rsidR="00390B94" w:rsidRDefault="00390B94" w:rsidP="00C924FB">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overflowPunct w:val="0"/>
                      <w:spacing w:before="0" w:beforeAutospacing="0" w:after="0" w:afterAutospacing="0" w:line="223" w:lineRule="auto"/>
                      <w:textAlignment w:val="baseline"/>
                    </w:pPr>
                    <w:r>
                      <w:rPr>
                        <w:rFonts w:eastAsia="WenQuanYi Zen Hei" w:cs="WenQuanYi Zen Hei"/>
                        <w:color w:val="0A1E15"/>
                        <w:kern w:val="24"/>
                        <w:sz w:val="32"/>
                        <w:szCs w:val="32"/>
                      </w:rPr>
                      <w:t>400</w:t>
                    </w:r>
                  </w:p>
                </w:txbxContent>
              </v:textbox>
            </v:shape>
            <v:shape id="Text Box 24" o:spid="_x0000_s1032" type="#_x0000_t202" style="position:absolute;left:6403;top:23912;width:6085;height:13964;visibility:visible;mso-wrap-style:square;v-text-anchor:top" o:gfxdata="" stroked="f">
              <v:stroke joinstyle="round"/>
              <v:textbox style="mso-fit-shape-to-text:t" inset="2.5mm,1.3mm,2.5mm,1.3mm">
                <w:txbxContent>
                  <w:p w:rsidR="00390B94" w:rsidRDefault="00390B94" w:rsidP="00C924FB">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overflowPunct w:val="0"/>
                      <w:spacing w:before="0" w:beforeAutospacing="0" w:after="0" w:afterAutospacing="0" w:line="223" w:lineRule="auto"/>
                      <w:textAlignment w:val="baseline"/>
                    </w:pPr>
                    <w:r>
                      <w:rPr>
                        <w:rFonts w:eastAsia="WenQuanYi Zen Hei" w:cs="WenQuanYi Zen Hei"/>
                        <w:color w:val="0A1E15"/>
                        <w:kern w:val="24"/>
                        <w:sz w:val="32"/>
                        <w:szCs w:val="32"/>
                      </w:rPr>
                      <w:t>470</w:t>
                    </w:r>
                  </w:p>
                </w:txbxContent>
              </v:textbox>
            </v:shape>
            <v:rect id="Rectangle 25" o:spid="_x0000_s1033" style="position:absolute;left:6967;top:36497;width:5892;height:6471;visibility:visible;mso-wrap-style:none;v-text-anchor:middle" o:gfxdata="" stroked="f">
              <v:stroke joinstyle="round"/>
              <v:textbox>
                <w:txbxContent>
                  <w:p w:rsidR="00390B94" w:rsidRDefault="00390B94" w:rsidP="00C924FB"/>
                </w:txbxContent>
              </v:textbox>
            </v:rect>
            <v:rect id="Rectangle 26" o:spid="_x0000_s1034" style="position:absolute;left:6967;top:45835;width:5892;height:5043;visibility:visible;mso-wrap-style:none;v-text-anchor:middle" o:gfxdata="" stroked="f">
              <v:stroke joinstyle="round"/>
              <v:textbox>
                <w:txbxContent>
                  <w:p w:rsidR="00390B94" w:rsidRDefault="00390B94" w:rsidP="00C924FB"/>
                </w:txbxContent>
              </v:textbox>
            </v:rect>
            <v:shape id="Text Box 27" o:spid="_x0000_s1035" type="#_x0000_t202" style="position:absolute;left:3524;top:19939;width:9350;height:10908;visibility:visible;mso-wrap-style:square;v-text-anchor:top" o:gfxdata="" stroked="f">
              <v:stroke joinstyle="round"/>
              <v:textbox style="mso-fit-shape-to-text:t" inset="2.5mm,1.3mm,2.5mm,1.3mm">
                <w:txbxContent>
                  <w:p w:rsidR="00390B94" w:rsidRDefault="00390B94" w:rsidP="00C924FB">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overflowPunct w:val="0"/>
                      <w:spacing w:before="0" w:beforeAutospacing="0" w:after="0" w:afterAutospacing="0" w:line="223" w:lineRule="auto"/>
                      <w:textAlignment w:val="baseline"/>
                    </w:pPr>
                    <w:r>
                      <w:rPr>
                        <w:rFonts w:eastAsia="WenQuanYi Zen Hei" w:cs="WenQuanYi Zen Hei"/>
                        <w:color w:val="0A1E15"/>
                        <w:kern w:val="24"/>
                      </w:rPr>
                      <w:t>Ts (°C)</w:t>
                    </w:r>
                  </w:p>
                </w:txbxContent>
              </v:textbox>
            </v:shape>
            <w10:wrap type="none"/>
            <w10:anchorlock/>
          </v:group>
        </w:pict>
      </w:r>
      <w:r w:rsidR="007879AC">
        <w:t xml:space="preserve">  </w:t>
      </w:r>
      <w:r w:rsidR="007879AC" w:rsidRPr="003C22D3">
        <w:rPr>
          <w:noProof/>
          <w:lang w:eastAsia="en-GB"/>
        </w:rPr>
        <w:drawing>
          <wp:inline distT="0" distB="0" distL="0" distR="0">
            <wp:extent cx="2210267" cy="1795140"/>
            <wp:effectExtent l="0" t="0" r="0" b="0"/>
            <wp:docPr id="301071" name="Picture 6"/>
            <wp:cNvGraphicFramePr/>
            <a:graphic xmlns:a="http://schemas.openxmlformats.org/drawingml/2006/main">
              <a:graphicData uri="http://schemas.openxmlformats.org/drawingml/2006/picture">
                <pic:pic xmlns:pic="http://schemas.openxmlformats.org/drawingml/2006/picture">
                  <pic:nvPicPr>
                    <pic:cNvPr id="16387" name="Picture 2"/>
                    <pic:cNvPicPr>
                      <a:picLocks noChangeAspect="1" noChangeArrowheads="1"/>
                    </pic:cNvPicPr>
                  </pic:nvPicPr>
                  <pic:blipFill rotWithShape="1">
                    <a:blip r:embed="rId83" cstate="print"/>
                    <a:srcRect l="22520" t="3324"/>
                    <a:stretch/>
                  </pic:blipFill>
                  <pic:spPr bwMode="auto">
                    <a:xfrm>
                      <a:off x="0" y="0"/>
                      <a:ext cx="2207559" cy="17929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7879AC" w:rsidRPr="00110E46">
        <w:rPr>
          <w:noProof/>
          <w:lang w:eastAsia="en-GB"/>
        </w:rPr>
        <w:drawing>
          <wp:inline distT="0" distB="0" distL="0" distR="0">
            <wp:extent cx="2210400" cy="1796400"/>
            <wp:effectExtent l="0" t="0" r="0" b="0"/>
            <wp:docPr id="301072" name="Picture 5"/>
            <wp:cNvGraphicFramePr/>
            <a:graphic xmlns:a="http://schemas.openxmlformats.org/drawingml/2006/main">
              <a:graphicData uri="http://schemas.openxmlformats.org/drawingml/2006/picture">
                <pic:pic xmlns:pic="http://schemas.openxmlformats.org/drawingml/2006/picture">
                  <pic:nvPicPr>
                    <pic:cNvPr id="16386" name="Picture 1"/>
                    <pic:cNvPicPr>
                      <a:picLocks noChangeAspect="1" noChangeArrowheads="1"/>
                    </pic:cNvPicPr>
                  </pic:nvPicPr>
                  <pic:blipFill>
                    <a:blip r:embed="rId84" cstate="print"/>
                    <a:srcRect l="28999" t="3999" r="25000" b="37332"/>
                    <a:stretch>
                      <a:fillRect/>
                    </a:stretch>
                  </pic:blipFill>
                  <pic:spPr bwMode="auto">
                    <a:xfrm>
                      <a:off x="0" y="0"/>
                      <a:ext cx="2210400" cy="1796400"/>
                    </a:xfrm>
                    <a:prstGeom prst="rect">
                      <a:avLst/>
                    </a:prstGeom>
                    <a:noFill/>
                    <a:ln w="9525">
                      <a:noFill/>
                      <a:round/>
                      <a:headEnd/>
                      <a:tailEnd/>
                    </a:ln>
                  </pic:spPr>
                </pic:pic>
              </a:graphicData>
            </a:graphic>
          </wp:inline>
        </w:drawing>
      </w:r>
    </w:p>
    <w:p w:rsidR="007879AC" w:rsidRDefault="007879AC" w:rsidP="007879AC">
      <w:pPr>
        <w:pStyle w:val="Caption"/>
        <w:rPr>
          <w:noProof/>
          <w:lang w:eastAsia="fr-BE"/>
        </w:rPr>
      </w:pPr>
      <w:bookmarkStart w:id="68" w:name="_Ref355339019"/>
      <w:r w:rsidRPr="003E4699">
        <w:t xml:space="preserve">Figure </w:t>
      </w:r>
      <w:r w:rsidR="00066E55" w:rsidRPr="005C18E8">
        <w:rPr>
          <w:b/>
        </w:rPr>
        <w:fldChar w:fldCharType="begin"/>
      </w:r>
      <w:r w:rsidRPr="003E4699">
        <w:instrText xml:space="preserve"> SEQ Figure \* ARABIC </w:instrText>
      </w:r>
      <w:r w:rsidR="00066E55" w:rsidRPr="005C18E8">
        <w:rPr>
          <w:b/>
        </w:rPr>
        <w:fldChar w:fldCharType="separate"/>
      </w:r>
      <w:r w:rsidR="003B7F32">
        <w:rPr>
          <w:noProof/>
        </w:rPr>
        <w:t>32</w:t>
      </w:r>
      <w:r w:rsidR="00066E55" w:rsidRPr="005C18E8">
        <w:rPr>
          <w:b/>
        </w:rPr>
        <w:fldChar w:fldCharType="end"/>
      </w:r>
      <w:bookmarkEnd w:id="68"/>
      <w:r w:rsidRPr="003E4699">
        <w:t xml:space="preserve">: </w:t>
      </w:r>
      <w:r>
        <w:t>Effect of conjugate heat transfer (left without, right with CHT)</w:t>
      </w:r>
    </w:p>
    <w:p w:rsidR="007879AC" w:rsidRPr="005B20E6" w:rsidRDefault="007879AC" w:rsidP="007879AC">
      <w:pPr>
        <w:rPr>
          <w:lang w:eastAsia="fr-BE"/>
        </w:rPr>
      </w:pPr>
    </w:p>
    <w:p w:rsidR="007879AC" w:rsidRPr="00BE76AA" w:rsidRDefault="00066E55" w:rsidP="00BE76AA">
      <w:pPr>
        <w:pStyle w:val="BodyText"/>
      </w:pPr>
      <w:fldSimple w:instr=" REF _Ref355339019 \h  \* MERGEFORMAT ">
        <w:r w:rsidR="003B7F32" w:rsidRPr="003E4699">
          <w:t xml:space="preserve">Figure </w:t>
        </w:r>
        <w:r w:rsidR="003B7F32">
          <w:t>32</w:t>
        </w:r>
      </w:fldSimple>
      <w:r w:rsidR="007879AC" w:rsidRPr="00BE76AA">
        <w:t xml:space="preserve"> shows clearly the importance of the conjugate heat transfer. By conduction through the structures the temperature differences between the cold and hot plenum in the upper region of the reactor (annular space and IVFHM) are smoothened. As illustrated in </w:t>
      </w:r>
      <w:fldSimple w:instr=" REF _Ref355339019 \h  \* MERGEFORMAT ">
        <w:r w:rsidR="003B7F32" w:rsidRPr="003E4699">
          <w:t xml:space="preserve">Figure </w:t>
        </w:r>
        <w:r w:rsidR="003B7F32">
          <w:t>32</w:t>
        </w:r>
      </w:fldSimple>
      <w:r w:rsidR="007879AC" w:rsidRPr="00BE76AA">
        <w:t xml:space="preserve">, LBE is being ejected through the barrel holes at different temperatures. Considering the lack of flow mixing in this plane, the cold flow from the outside rings tends to exit through the first rows of holes while the central hot jet in the core reaches the free-surface. Average temperatures on the barrel and Hot Plenum free-surfaces are approximately equal to 440 °C and 400 °C respectively. In the Hot Plenum, buoyancy prevails and results in a thermal stratification, as shown in </w:t>
      </w:r>
      <w:fldSimple w:instr=" REF _Ref355353562 \h  \* MERGEFORMAT ">
        <w:r w:rsidR="003B7F32" w:rsidRPr="003E4699">
          <w:t xml:space="preserve">Figure </w:t>
        </w:r>
        <w:r w:rsidR="003B7F32">
          <w:t>33</w:t>
        </w:r>
      </w:fldSimple>
      <w:r w:rsidR="007879AC" w:rsidRPr="00BE76AA">
        <w:t xml:space="preserve">, where </w:t>
      </w:r>
      <w:r w:rsidR="00BF20DE" w:rsidRPr="00BE76AA">
        <w:t xml:space="preserve">the </w:t>
      </w:r>
      <w:r w:rsidR="007879AC" w:rsidRPr="00BE76AA">
        <w:t xml:space="preserve">vertical temperature </w:t>
      </w:r>
      <w:r w:rsidR="00BF20DE" w:rsidRPr="00BE76AA">
        <w:t xml:space="preserve">profile </w:t>
      </w:r>
      <w:r w:rsidR="007879AC" w:rsidRPr="00BE76AA">
        <w:t>in the Hot Plenum is plotted along a vertical line (</w:t>
      </w:r>
      <w:fldSimple w:instr=" REF _Ref355353562 \h  \* MERGEFORMAT ">
        <w:r w:rsidR="003B7F32" w:rsidRPr="003E4699">
          <w:t xml:space="preserve">Figure </w:t>
        </w:r>
        <w:r w:rsidR="003B7F32">
          <w:t>33</w:t>
        </w:r>
      </w:fldSimple>
      <w:r w:rsidR="007879AC" w:rsidRPr="00BE76AA">
        <w:t>).</w:t>
      </w:r>
    </w:p>
    <w:p w:rsidR="007879AC" w:rsidRPr="006A770B" w:rsidRDefault="007879AC" w:rsidP="007879AC"/>
    <w:p w:rsidR="007879AC" w:rsidRDefault="00066E55" w:rsidP="000E1C69">
      <w:pPr>
        <w:keepNext/>
        <w:spacing w:before="120" w:after="120"/>
        <w:jc w:val="center"/>
      </w:pPr>
      <w:r w:rsidRPr="00066E55">
        <w:rPr>
          <w:noProof/>
          <w:lang w:val="en-US"/>
        </w:rPr>
        <w:pict>
          <v:rect id="Rectangle 4" o:spid="_x0000_s1037" style="position:absolute;left:0;text-align:left;margin-left:207.6pt;margin-top:30.05pt;width:21.75pt;height:88.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stroked="f"/>
        </w:pict>
      </w:r>
      <w:r w:rsidR="007879AC">
        <w:rPr>
          <w:noProof/>
          <w:lang w:eastAsia="en-GB"/>
        </w:rPr>
        <w:drawing>
          <wp:inline distT="0" distB="0" distL="0" distR="0">
            <wp:extent cx="2105025" cy="1872283"/>
            <wp:effectExtent l="19050" t="0" r="9525" b="0"/>
            <wp:docPr id="301073" name="Picture 28" descr="temp_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_line.jpg"/>
                    <pic:cNvPicPr/>
                  </pic:nvPicPr>
                  <pic:blipFill>
                    <a:blip r:embed="rId85" cstate="print"/>
                    <a:stretch>
                      <a:fillRect/>
                    </a:stretch>
                  </pic:blipFill>
                  <pic:spPr>
                    <a:xfrm>
                      <a:off x="0" y="0"/>
                      <a:ext cx="2105025" cy="1872283"/>
                    </a:xfrm>
                    <a:prstGeom prst="rect">
                      <a:avLst/>
                    </a:prstGeom>
                  </pic:spPr>
                </pic:pic>
              </a:graphicData>
            </a:graphic>
          </wp:inline>
        </w:drawing>
      </w:r>
      <w:r w:rsidR="007879AC" w:rsidRPr="001E6AA2">
        <w:rPr>
          <w:noProof/>
          <w:lang w:eastAsia="en-GB"/>
        </w:rPr>
        <w:drawing>
          <wp:inline distT="0" distB="0" distL="0" distR="0">
            <wp:extent cx="2480154" cy="1895605"/>
            <wp:effectExtent l="19050" t="0" r="0" b="0"/>
            <wp:docPr id="301074" name="Picture 40" descr="Comp_T_yf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_T_yfree.png"/>
                    <pic:cNvPicPr/>
                  </pic:nvPicPr>
                  <pic:blipFill>
                    <a:blip r:embed="rId86" cstate="print"/>
                    <a:srcRect l="41487" t="11517"/>
                    <a:stretch>
                      <a:fillRect/>
                    </a:stretch>
                  </pic:blipFill>
                  <pic:spPr>
                    <a:xfrm>
                      <a:off x="0" y="0"/>
                      <a:ext cx="2480154" cy="1895605"/>
                    </a:xfrm>
                    <a:prstGeom prst="rect">
                      <a:avLst/>
                    </a:prstGeom>
                  </pic:spPr>
                </pic:pic>
              </a:graphicData>
            </a:graphic>
          </wp:inline>
        </w:drawing>
      </w:r>
    </w:p>
    <w:p w:rsidR="007879AC" w:rsidRDefault="007879AC" w:rsidP="000E1C69">
      <w:pPr>
        <w:pStyle w:val="Caption"/>
        <w:jc w:val="center"/>
      </w:pPr>
      <w:bookmarkStart w:id="69" w:name="_Ref355353562"/>
      <w:r w:rsidRPr="003E4699">
        <w:t xml:space="preserve">Figure </w:t>
      </w:r>
      <w:r w:rsidR="00066E55" w:rsidRPr="001C0BCC">
        <w:rPr>
          <w:b/>
        </w:rPr>
        <w:fldChar w:fldCharType="begin"/>
      </w:r>
      <w:r w:rsidRPr="003E4699">
        <w:instrText xml:space="preserve"> SEQ Figure \* ARABIC </w:instrText>
      </w:r>
      <w:r w:rsidR="00066E55" w:rsidRPr="001C0BCC">
        <w:rPr>
          <w:b/>
        </w:rPr>
        <w:fldChar w:fldCharType="separate"/>
      </w:r>
      <w:r w:rsidR="003B7F32">
        <w:rPr>
          <w:noProof/>
        </w:rPr>
        <w:t>33</w:t>
      </w:r>
      <w:r w:rsidR="00066E55" w:rsidRPr="001C0BCC">
        <w:rPr>
          <w:b/>
        </w:rPr>
        <w:fldChar w:fldCharType="end"/>
      </w:r>
      <w:bookmarkEnd w:id="69"/>
      <w:r w:rsidRPr="003E4699">
        <w:t>: Thermal stratification along a vertical line in the H</w:t>
      </w:r>
      <w:r>
        <w:t>ot</w:t>
      </w:r>
      <w:r w:rsidR="00AD139A">
        <w:t xml:space="preserve"> Plenum next to the IVFS </w:t>
      </w:r>
      <w:r>
        <w:t xml:space="preserve">and </w:t>
      </w:r>
      <w:r w:rsidRPr="003E4699">
        <w:t>Static temperature contours on the free-stream surface</w:t>
      </w:r>
    </w:p>
    <w:p w:rsidR="007879AC" w:rsidRPr="00C7677F" w:rsidRDefault="007879AC" w:rsidP="007879AC"/>
    <w:p w:rsidR="007879AC" w:rsidRPr="00BE76AA" w:rsidRDefault="007879AC" w:rsidP="00BE76AA">
      <w:pPr>
        <w:pStyle w:val="BodyText"/>
      </w:pPr>
      <w:r w:rsidRPr="00BE76AA">
        <w:lastRenderedPageBreak/>
        <w:t xml:space="preserve">To assess the thermal stress experienced by the various components of the reactor, static temperature contours on </w:t>
      </w:r>
      <w:r w:rsidR="00BF20DE" w:rsidRPr="00BE76AA">
        <w:t xml:space="preserve">both </w:t>
      </w:r>
      <w:r w:rsidRPr="00BE76AA">
        <w:t>side</w:t>
      </w:r>
      <w:r w:rsidR="00BE76AA">
        <w:t>s</w:t>
      </w:r>
      <w:r w:rsidRPr="00BE76AA">
        <w:t xml:space="preserve"> of the parts are shown in </w:t>
      </w:r>
      <w:fldSimple w:instr=" REF _Ref361389563 \h  \* MERGEFORMAT ">
        <w:r w:rsidR="003B7F32" w:rsidRPr="009E266A">
          <w:t xml:space="preserve">Figure </w:t>
        </w:r>
        <w:r w:rsidR="003B7F32">
          <w:t>34</w:t>
        </w:r>
      </w:fldSimple>
      <w:r w:rsidRPr="00BE76AA">
        <w:t xml:space="preserve">. In the simulation without conjugate heat transfer, the internal structures experience temperature gradients by being in contact with the LBE in the two parts of the pool (Hot &amp; Cold Plenum). A maximum temperature difference across the wall of around 60 °C appears at the upper diaphragm plate, where the Heat Exchanger outlet region (270 °C) is located on the lower side and the hot flow </w:t>
      </w:r>
      <w:r w:rsidR="00BE76AA" w:rsidRPr="00BE76AA">
        <w:t>(320</w:t>
      </w:r>
      <w:r w:rsidRPr="00BE76AA">
        <w:t xml:space="preserve"> °C) in the Hot Plenum located on the upper side.  Temperatures on the diaphragm and in particular its two horizontal plates are shown in </w:t>
      </w:r>
      <w:fldSimple w:instr=" REF _Ref361389563 \h  \* MERGEFORMAT ">
        <w:r w:rsidR="003B7F32" w:rsidRPr="009E266A">
          <w:t xml:space="preserve">Figure </w:t>
        </w:r>
        <w:r w:rsidR="003B7F32">
          <w:t>34</w:t>
        </w:r>
      </w:fldSimple>
      <w:r w:rsidRPr="00BE76AA">
        <w:t xml:space="preserve">/b. As for the top plate, strong gradients exist </w:t>
      </w:r>
      <w:r w:rsidR="009E239E" w:rsidRPr="00BE76AA">
        <w:t xml:space="preserve">over </w:t>
      </w:r>
      <w:r w:rsidRPr="00BE76AA">
        <w:t xml:space="preserve">its surface but the differences </w:t>
      </w:r>
      <w:r w:rsidR="00BF20DE" w:rsidRPr="00BE76AA">
        <w:t xml:space="preserve">between </w:t>
      </w:r>
      <w:r w:rsidR="009E239E" w:rsidRPr="00BE76AA">
        <w:t>b</w:t>
      </w:r>
      <w:r w:rsidR="00BF20DE" w:rsidRPr="00BE76AA">
        <w:t>oth</w:t>
      </w:r>
      <w:r w:rsidRPr="00BE76AA">
        <w:t xml:space="preserve"> side</w:t>
      </w:r>
      <w:r w:rsidR="00BF20DE" w:rsidRPr="00BE76AA">
        <w:t>s</w:t>
      </w:r>
      <w:r w:rsidRPr="00BE76AA">
        <w:t>, of importance for thermal stresses, are limited to similar levels than for the bottom plate.</w:t>
      </w:r>
    </w:p>
    <w:p w:rsidR="007879AC" w:rsidRPr="00BE76AA" w:rsidRDefault="007879AC" w:rsidP="00BE76AA">
      <w:pPr>
        <w:pStyle w:val="BodyText"/>
      </w:pPr>
      <w:r w:rsidRPr="00BE76AA">
        <w:t>In the simulations with conjugate heat transfer where the conduction through these plates cools down the hot LBE located in the IVFS area</w:t>
      </w:r>
      <w:r w:rsidR="009E239E" w:rsidRPr="00BE76AA">
        <w:t>,</w:t>
      </w:r>
      <w:r w:rsidRPr="00BE76AA">
        <w:t xml:space="preserve"> the temperature gradient between this zone and the Cold Plenum is considerably reduced, which reduces thermal stresses on the lower diaphragm plate (&lt; 30 °C). </w:t>
      </w:r>
    </w:p>
    <w:p w:rsidR="007879AC" w:rsidRPr="001E6AA2" w:rsidRDefault="007879AC" w:rsidP="007879AC"/>
    <w:p w:rsidR="007879AC" w:rsidRDefault="007879AC" w:rsidP="00546BFE">
      <w:pPr>
        <w:keepNext/>
        <w:jc w:val="center"/>
      </w:pPr>
      <w:r w:rsidRPr="004836C5">
        <w:rPr>
          <w:noProof/>
          <w:lang w:eastAsia="en-GB"/>
        </w:rPr>
        <w:drawing>
          <wp:inline distT="0" distB="0" distL="0" distR="0">
            <wp:extent cx="3808137" cy="1655748"/>
            <wp:effectExtent l="19050" t="0" r="1863" b="0"/>
            <wp:docPr id="56" name="Picture 55" descr="fullCHT_Ts_DIA-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CHT_Ts_DIA-top.png"/>
                    <pic:cNvPicPr/>
                  </pic:nvPicPr>
                  <pic:blipFill>
                    <a:blip r:embed="rId87" cstate="print"/>
                    <a:stretch>
                      <a:fillRect/>
                    </a:stretch>
                  </pic:blipFill>
                  <pic:spPr>
                    <a:xfrm>
                      <a:off x="0" y="0"/>
                      <a:ext cx="3809607" cy="1656387"/>
                    </a:xfrm>
                    <a:prstGeom prst="rect">
                      <a:avLst/>
                    </a:prstGeom>
                  </pic:spPr>
                </pic:pic>
              </a:graphicData>
            </a:graphic>
          </wp:inline>
        </w:drawing>
      </w:r>
    </w:p>
    <w:p w:rsidR="007879AC" w:rsidRDefault="007879AC" w:rsidP="00546BFE">
      <w:pPr>
        <w:pStyle w:val="Caption"/>
        <w:jc w:val="center"/>
      </w:pPr>
      <w:bookmarkStart w:id="70" w:name="_Ref361389563"/>
      <w:r w:rsidRPr="009E266A">
        <w:t xml:space="preserve">Figure </w:t>
      </w:r>
      <w:r w:rsidR="00066E55">
        <w:fldChar w:fldCharType="begin"/>
      </w:r>
      <w:r w:rsidRPr="009E266A">
        <w:instrText xml:space="preserve"> SEQ Figure \* ARABIC </w:instrText>
      </w:r>
      <w:r w:rsidR="00066E55">
        <w:fldChar w:fldCharType="separate"/>
      </w:r>
      <w:r w:rsidR="003B7F32">
        <w:rPr>
          <w:noProof/>
        </w:rPr>
        <w:t>34</w:t>
      </w:r>
      <w:r w:rsidR="00066E55">
        <w:fldChar w:fldCharType="end"/>
      </w:r>
      <w:bookmarkEnd w:id="70"/>
      <w:r w:rsidRPr="009E266A">
        <w:t xml:space="preserve">: Static temperature contours </w:t>
      </w:r>
      <w:r>
        <w:t>on the top and bottom sides of the diaphragm plates</w:t>
      </w:r>
    </w:p>
    <w:p w:rsidR="00426EE3" w:rsidRPr="00426EE3" w:rsidRDefault="00426EE3" w:rsidP="00426EE3">
      <w:pPr>
        <w:pStyle w:val="Heading2"/>
      </w:pPr>
      <w:bookmarkStart w:id="71" w:name="_Toc478990102"/>
      <w:r>
        <w:t>Unsteady features</w:t>
      </w:r>
      <w:bookmarkEnd w:id="71"/>
    </w:p>
    <w:p w:rsidR="00426EE3" w:rsidRPr="00BE76AA" w:rsidRDefault="00DC4975" w:rsidP="00BE76AA">
      <w:pPr>
        <w:pStyle w:val="BodyText"/>
      </w:pPr>
      <w:r w:rsidRPr="00BE76AA">
        <w:t xml:space="preserve">In order to be able to deal later with transient scenarios, a closed loop was considered </w:t>
      </w:r>
      <w:r w:rsidR="00DA3C4A" w:rsidRPr="00BE76AA">
        <w:t>with</w:t>
      </w:r>
      <w:r w:rsidRPr="00BE76AA">
        <w:t xml:space="preserve"> multiphase</w:t>
      </w:r>
      <w:r w:rsidR="00DA3C4A" w:rsidRPr="00BE76AA">
        <w:t xml:space="preserve"> </w:t>
      </w:r>
      <w:proofErr w:type="spellStart"/>
      <w:r w:rsidR="00DA3C4A" w:rsidRPr="00BE76AA">
        <w:t>VoF</w:t>
      </w:r>
      <w:proofErr w:type="spellEnd"/>
      <w:r w:rsidRPr="00BE76AA">
        <w:t xml:space="preserve"> simulation.</w:t>
      </w:r>
      <w:r w:rsidR="003F316E" w:rsidRPr="00BE76AA">
        <w:t xml:space="preserve"> The region above the LBE is filled with Argon gas. In order to have the same pressure everywhere in the gas region, all the tubes emerging from the upper and lower plenum were truncated such that a 5 cm gap is present between the top cover and the top of the tubes.</w:t>
      </w:r>
    </w:p>
    <w:p w:rsidR="00921C2C" w:rsidRPr="00BE76AA" w:rsidRDefault="00921C2C" w:rsidP="00BE76AA">
      <w:pPr>
        <w:pStyle w:val="BodyText"/>
      </w:pPr>
      <w:r w:rsidRPr="00BE76AA">
        <w:t xml:space="preserve">As the LBE level was constant at the beginning of the simulation the flow was stagnant, too. </w:t>
      </w:r>
      <w:r w:rsidR="00DA3C4A" w:rsidRPr="00BE76AA">
        <w:t>T</w:t>
      </w:r>
      <w:r w:rsidRPr="00BE76AA">
        <w:t>he flow field got established</w:t>
      </w:r>
      <w:proofErr w:type="gramStart"/>
      <w:r w:rsidR="009E239E" w:rsidRPr="00BE76AA">
        <w:t>:</w:t>
      </w:r>
      <w:r w:rsidRPr="00BE76AA">
        <w:t>~</w:t>
      </w:r>
      <w:proofErr w:type="gramEnd"/>
      <w:r w:rsidRPr="00BE76AA">
        <w:t xml:space="preserve">100 sec of physical time in the simulation corresponding to 12 days of computational time on 128 processors. The obtained flow field with the single phase and multiphase flow solvers can be seen in </w:t>
      </w:r>
      <w:fldSimple w:instr="REF _Ref355278948 \h \* MERGEFORMAT ">
        <w:r w:rsidR="003B7F32" w:rsidRPr="00203332">
          <w:t xml:space="preserve">Figure </w:t>
        </w:r>
        <w:r w:rsidR="003B7F32">
          <w:t>31</w:t>
        </w:r>
      </w:fldSimple>
      <w:r w:rsidRPr="00BE76AA">
        <w:t xml:space="preserve">. The general flow field and velocity magnitudes are conformal in the two simulations, though the multiphase solver presents less distinct jets coming from the pumps and going towards the core due to the unsteady nature of </w:t>
      </w:r>
      <w:r w:rsidRPr="00BE76AA">
        <w:lastRenderedPageBreak/>
        <w:t>the flow. For the steady state simulation we obtain a time averaged flow field, while in the unsteady simulation we can appreciate an instantaneous picture of the flow topology.</w:t>
      </w:r>
    </w:p>
    <w:p w:rsidR="00921C2C" w:rsidRDefault="00066E55" w:rsidP="00921C2C">
      <w:pPr>
        <w:pStyle w:val="Normal1"/>
        <w:keepNext/>
        <w:spacing w:before="120" w:after="120"/>
        <w:jc w:val="center"/>
      </w:pPr>
      <w:r w:rsidRPr="00066E55">
        <w:rPr>
          <w:noProof/>
          <w:lang w:eastAsia="en-US" w:bidi="ar-SA"/>
        </w:rPr>
        <w:pict>
          <v:rect id="shape_0" o:spid="_x0000_s1036" style="position:absolute;left:0;text-align:left;margin-left:77.95pt;margin-top:34.7pt;width:50.2pt;height:14.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stroked="f" strokecolor="#3465a4">
            <v:stroke joinstyle="round"/>
          </v:rect>
        </w:pict>
      </w:r>
      <w:r w:rsidR="00921C2C">
        <w:t xml:space="preserve">     </w:t>
      </w:r>
      <w:r w:rsidR="00921C2C">
        <w:rPr>
          <w:noProof/>
          <w:lang w:val="en-GB" w:eastAsia="en-GB" w:bidi="ar-SA"/>
        </w:rPr>
        <w:drawing>
          <wp:inline distT="0" distB="0" distL="0" distR="0">
            <wp:extent cx="2157730" cy="2684780"/>
            <wp:effectExtent l="0" t="0" r="0" b="0"/>
            <wp:docPr id="4" name="Picture" descr="OF_Umagn_z0_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OF_Umagn_z0_last.png"/>
                    <pic:cNvPicPr>
                      <a:picLocks noChangeAspect="1" noChangeArrowheads="1"/>
                    </pic:cNvPicPr>
                  </pic:nvPicPr>
                  <pic:blipFill>
                    <a:blip r:embed="rId88" cstate="print"/>
                    <a:stretch>
                      <a:fillRect/>
                    </a:stretch>
                  </pic:blipFill>
                  <pic:spPr bwMode="auto">
                    <a:xfrm>
                      <a:off x="0" y="0"/>
                      <a:ext cx="2157730" cy="2684780"/>
                    </a:xfrm>
                    <a:prstGeom prst="rect">
                      <a:avLst/>
                    </a:prstGeom>
                    <a:noFill/>
                    <a:ln w="9525">
                      <a:noFill/>
                      <a:miter lim="800000"/>
                      <a:headEnd/>
                      <a:tailEnd/>
                    </a:ln>
                  </pic:spPr>
                </pic:pic>
              </a:graphicData>
            </a:graphic>
          </wp:inline>
        </w:drawing>
      </w:r>
      <w:r w:rsidR="00921C2C">
        <w:t xml:space="preserve">  </w:t>
      </w:r>
      <w:r w:rsidR="00921C2C">
        <w:rPr>
          <w:noProof/>
          <w:lang w:val="en-GB" w:eastAsia="en-GB" w:bidi="ar-SA"/>
        </w:rPr>
        <w:drawing>
          <wp:inline distT="0" distB="0" distL="0" distR="0">
            <wp:extent cx="2139315" cy="3019425"/>
            <wp:effectExtent l="0" t="0" r="0" b="0"/>
            <wp:docPr id="301075" name="Picture" descr="velo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velocity.jpg"/>
                    <pic:cNvPicPr>
                      <a:picLocks noChangeAspect="1" noChangeArrowheads="1"/>
                    </pic:cNvPicPr>
                  </pic:nvPicPr>
                  <pic:blipFill>
                    <a:blip r:embed="rId89" cstate="print"/>
                    <a:srcRect l="22949" r="23385" b="5373"/>
                    <a:stretch>
                      <a:fillRect/>
                    </a:stretch>
                  </pic:blipFill>
                  <pic:spPr bwMode="auto">
                    <a:xfrm>
                      <a:off x="0" y="0"/>
                      <a:ext cx="2139315" cy="3019425"/>
                    </a:xfrm>
                    <a:prstGeom prst="rect">
                      <a:avLst/>
                    </a:prstGeom>
                    <a:noFill/>
                    <a:ln w="9525">
                      <a:noFill/>
                      <a:miter lim="800000"/>
                      <a:headEnd/>
                      <a:tailEnd/>
                    </a:ln>
                  </pic:spPr>
                </pic:pic>
              </a:graphicData>
            </a:graphic>
          </wp:inline>
        </w:drawing>
      </w:r>
      <w:r w:rsidR="00921C2C">
        <w:t xml:space="preserve">  </w:t>
      </w:r>
      <w:r w:rsidR="00921C2C" w:rsidRPr="00C11006">
        <w:rPr>
          <w:noProof/>
          <w:lang w:val="en-GB" w:eastAsia="en-GB" w:bidi="ar-SA"/>
        </w:rPr>
        <w:drawing>
          <wp:inline distT="0" distB="0" distL="0" distR="0">
            <wp:extent cx="1048969" cy="1997050"/>
            <wp:effectExtent l="19050" t="0" r="0" b="0"/>
            <wp:docPr id="51" name="Picture 1" descr="Umagn_z0.png"/>
            <wp:cNvGraphicFramePr/>
            <a:graphic xmlns:a="http://schemas.openxmlformats.org/drawingml/2006/main">
              <a:graphicData uri="http://schemas.openxmlformats.org/drawingml/2006/picture">
                <pic:pic xmlns:pic="http://schemas.openxmlformats.org/drawingml/2006/picture">
                  <pic:nvPicPr>
                    <pic:cNvPr id="28677" name="Picture 7" descr="Umagn_z0.png"/>
                    <pic:cNvPicPr>
                      <a:picLocks noChangeAspect="1"/>
                    </pic:cNvPicPr>
                  </pic:nvPicPr>
                  <pic:blipFill>
                    <a:blip r:embed="rId81" cstate="print"/>
                    <a:srcRect l="74072" t="45154" b="3564"/>
                    <a:stretch>
                      <a:fillRect/>
                    </a:stretch>
                  </pic:blipFill>
                  <pic:spPr bwMode="auto">
                    <a:xfrm>
                      <a:off x="0" y="0"/>
                      <a:ext cx="1048308" cy="1995791"/>
                    </a:xfrm>
                    <a:prstGeom prst="rect">
                      <a:avLst/>
                    </a:prstGeom>
                    <a:noFill/>
                    <a:ln w="9525">
                      <a:noFill/>
                      <a:miter lim="800000"/>
                      <a:headEnd/>
                      <a:tailEnd/>
                    </a:ln>
                  </pic:spPr>
                </pic:pic>
              </a:graphicData>
            </a:graphic>
          </wp:inline>
        </w:drawing>
      </w:r>
    </w:p>
    <w:p w:rsidR="00921C2C" w:rsidRDefault="00921C2C" w:rsidP="00921C2C">
      <w:pPr>
        <w:pStyle w:val="Caption"/>
        <w:spacing w:before="120" w:after="120"/>
        <w:jc w:val="center"/>
        <w:rPr>
          <w:lang w:val="en-US"/>
        </w:rPr>
      </w:pPr>
      <w:r>
        <w:rPr>
          <w:lang w:val="en-US"/>
        </w:rPr>
        <w:t xml:space="preserve">Figure </w:t>
      </w:r>
      <w:r w:rsidR="00066E55" w:rsidRPr="00066E55">
        <w:rPr>
          <w:lang w:val="en-US"/>
        </w:rPr>
        <w:fldChar w:fldCharType="begin"/>
      </w:r>
      <w:r w:rsidRPr="00C777B6">
        <w:rPr>
          <w:lang w:val="en-US"/>
        </w:rPr>
        <w:instrText>SEQ "Figure" \*Arabic</w:instrText>
      </w:r>
      <w:r w:rsidR="00066E55">
        <w:fldChar w:fldCharType="separate"/>
      </w:r>
      <w:r w:rsidR="003B7F32">
        <w:rPr>
          <w:noProof/>
          <w:lang w:val="en-US"/>
        </w:rPr>
        <w:t>35</w:t>
      </w:r>
      <w:r w:rsidR="00066E55">
        <w:fldChar w:fldCharType="end"/>
      </w:r>
      <w:r>
        <w:rPr>
          <w:lang w:val="en-US"/>
        </w:rPr>
        <w:t>: Velocity magnitude contours in the vertical symmetry plane z=0. a) Single phase, steady-state simulation b) Multiphase unsteady simulation after 100 seconds of simulation time</w:t>
      </w:r>
    </w:p>
    <w:p w:rsidR="00921C2C" w:rsidRDefault="00921C2C" w:rsidP="00921C2C">
      <w:pPr>
        <w:pStyle w:val="Normal1"/>
        <w:jc w:val="both"/>
        <w:rPr>
          <w:rFonts w:ascii="CG Omega" w:hAnsi="CG Omega"/>
          <w:iCs/>
          <w:sz w:val="22"/>
          <w:szCs w:val="22"/>
          <w:lang w:eastAsia="en-GB"/>
        </w:rPr>
      </w:pPr>
    </w:p>
    <w:p w:rsidR="00921C2C" w:rsidRPr="00BE76AA" w:rsidRDefault="00921C2C" w:rsidP="00BE76AA">
      <w:pPr>
        <w:pStyle w:val="BodyText"/>
      </w:pPr>
      <w:r w:rsidRPr="00BE76AA">
        <w:t>The reference pressure differ</w:t>
      </w:r>
      <w:r w:rsidR="00DA3C4A" w:rsidRPr="00BE76AA">
        <w:t xml:space="preserve">ence in the </w:t>
      </w:r>
      <w:proofErr w:type="spellStart"/>
      <w:r w:rsidR="00DA3C4A" w:rsidRPr="00BE76AA">
        <w:t>Vo</w:t>
      </w:r>
      <w:r w:rsidRPr="00BE76AA">
        <w:t>F</w:t>
      </w:r>
      <w:proofErr w:type="spellEnd"/>
      <w:r w:rsidRPr="00BE76AA">
        <w:t xml:space="preserve"> simulation was set to zero </w:t>
      </w:r>
      <w:r w:rsidR="009E239E" w:rsidRPr="00BE76AA">
        <w:t xml:space="preserve">at the </w:t>
      </w:r>
      <w:r w:rsidRPr="00BE76AA">
        <w:t>first pump outlet height the same way as for the single phase case, though the simulation was diverging due to the inadequate initialization of the buoyant pressure. Therefore, based on previous experiences, the reference was shifted close to the top of the computational domain, into the argon region, resulting in a stable transient section of the simulation start-up.</w:t>
      </w:r>
    </w:p>
    <w:p w:rsidR="00921C2C" w:rsidRPr="00BE76AA" w:rsidRDefault="00921C2C" w:rsidP="00BE76AA">
      <w:pPr>
        <w:pStyle w:val="BodyText"/>
      </w:pPr>
      <w:r w:rsidRPr="00BE76AA">
        <w:t xml:space="preserve">The pressure drop through the reactor is estimated to 2.45 </w:t>
      </w:r>
      <w:proofErr w:type="gramStart"/>
      <w:r w:rsidRPr="00BE76AA">
        <w:t>bar</w:t>
      </w:r>
      <w:proofErr w:type="gramEnd"/>
      <w:r w:rsidRPr="00BE76AA">
        <w:t>. The free surface of the upper and a lower plenum is separated by a height difference of 2.4 m (</w:t>
      </w:r>
      <w:fldSimple w:instr="REF _Ref426646277 \h \* MERGEFORMAT ">
        <w:r w:rsidR="003B7F32" w:rsidRPr="003B7F32">
          <w:t>Figure 36</w:t>
        </w:r>
      </w:fldSimple>
      <w:r w:rsidRPr="00BE76AA">
        <w:t>). As predicted by the steady state there is 6 cm of height difference between the upper plenum inside and outside of the barrel, resulting in fountains of LBE dropping to the upper plenum surface.</w:t>
      </w:r>
    </w:p>
    <w:p w:rsidR="00921C2C" w:rsidRPr="00BE76AA" w:rsidRDefault="00921C2C" w:rsidP="00BE76AA">
      <w:pPr>
        <w:pStyle w:val="BodyText"/>
      </w:pPr>
    </w:p>
    <w:p w:rsidR="00921C2C" w:rsidRDefault="00921C2C" w:rsidP="00921C2C">
      <w:pPr>
        <w:pStyle w:val="Normal1"/>
        <w:ind w:firstLine="720"/>
        <w:jc w:val="both"/>
        <w:rPr>
          <w:rFonts w:ascii="CG Omega" w:hAnsi="CG Omega"/>
          <w:iCs/>
          <w:sz w:val="22"/>
          <w:szCs w:val="22"/>
          <w:lang w:eastAsia="en-GB"/>
        </w:rPr>
      </w:pPr>
      <w:r>
        <w:rPr>
          <w:noProof/>
          <w:lang w:val="en-GB" w:eastAsia="en-GB" w:bidi="ar-SA"/>
        </w:rPr>
        <w:lastRenderedPageBreak/>
        <w:drawing>
          <wp:inline distT="0" distB="0" distL="0" distR="0">
            <wp:extent cx="1610750" cy="2077517"/>
            <wp:effectExtent l="19050" t="0" r="8500" b="0"/>
            <wp:docPr id="301076" name="Picture" descr="alphaL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alphaLBE.jpg"/>
                    <pic:cNvPicPr>
                      <a:picLocks noChangeAspect="1" noChangeArrowheads="1"/>
                    </pic:cNvPicPr>
                  </pic:nvPicPr>
                  <pic:blipFill>
                    <a:blip r:embed="rId90" cstate="print"/>
                    <a:srcRect l="24445" t="7995" r="22492" b="7153"/>
                    <a:stretch>
                      <a:fillRect/>
                    </a:stretch>
                  </pic:blipFill>
                  <pic:spPr bwMode="auto">
                    <a:xfrm>
                      <a:off x="0" y="0"/>
                      <a:ext cx="1618050" cy="2086933"/>
                    </a:xfrm>
                    <a:prstGeom prst="rect">
                      <a:avLst/>
                    </a:prstGeom>
                    <a:noFill/>
                    <a:ln w="9525">
                      <a:noFill/>
                      <a:miter lim="800000"/>
                      <a:headEnd/>
                      <a:tailEnd/>
                    </a:ln>
                  </pic:spPr>
                </pic:pic>
              </a:graphicData>
            </a:graphic>
          </wp:inline>
        </w:drawing>
      </w:r>
      <w:r>
        <w:rPr>
          <w:rFonts w:ascii="CG Omega" w:hAnsi="CG Omega"/>
          <w:iCs/>
          <w:noProof/>
          <w:sz w:val="22"/>
          <w:szCs w:val="22"/>
          <w:lang w:val="en-GB" w:eastAsia="en-GB" w:bidi="ar-SA"/>
        </w:rPr>
        <w:drawing>
          <wp:inline distT="0" distB="0" distL="0" distR="0">
            <wp:extent cx="1451823" cy="1675181"/>
            <wp:effectExtent l="19050" t="0" r="0" b="0"/>
            <wp:docPr id="301077" name="Picture" descr="alpha_bar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alpha_barrel.jpg"/>
                    <pic:cNvPicPr>
                      <a:picLocks noChangeAspect="1" noChangeArrowheads="1"/>
                    </pic:cNvPicPr>
                  </pic:nvPicPr>
                  <pic:blipFill>
                    <a:blip r:embed="rId91" cstate="print"/>
                    <a:srcRect b="-36153"/>
                    <a:stretch>
                      <a:fillRect/>
                    </a:stretch>
                  </pic:blipFill>
                  <pic:spPr bwMode="auto">
                    <a:xfrm>
                      <a:off x="0" y="0"/>
                      <a:ext cx="1453277" cy="1676859"/>
                    </a:xfrm>
                    <a:prstGeom prst="rect">
                      <a:avLst/>
                    </a:prstGeom>
                    <a:noFill/>
                    <a:ln w="9525">
                      <a:noFill/>
                      <a:miter lim="800000"/>
                      <a:headEnd/>
                      <a:tailEnd/>
                    </a:ln>
                  </pic:spPr>
                </pic:pic>
              </a:graphicData>
            </a:graphic>
          </wp:inline>
        </w:drawing>
      </w:r>
      <w:r>
        <w:rPr>
          <w:rFonts w:ascii="CG Omega" w:hAnsi="CG Omega"/>
          <w:iCs/>
          <w:noProof/>
          <w:sz w:val="22"/>
          <w:szCs w:val="22"/>
          <w:lang w:val="en-GB" w:eastAsia="en-GB" w:bidi="ar-SA"/>
        </w:rPr>
        <w:drawing>
          <wp:inline distT="0" distB="0" distL="0" distR="0">
            <wp:extent cx="2138720" cy="1500652"/>
            <wp:effectExtent l="0" t="323850" r="0" b="309098"/>
            <wp:docPr id="53" name="Picture 52" descr="alphaLB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LBEx.jpg"/>
                    <pic:cNvPicPr/>
                  </pic:nvPicPr>
                  <pic:blipFill>
                    <a:blip r:embed="rId92" cstate="print"/>
                    <a:srcRect l="13659" t="18131" r="11533" b="19704"/>
                    <a:stretch>
                      <a:fillRect/>
                    </a:stretch>
                  </pic:blipFill>
                  <pic:spPr>
                    <a:xfrm rot="16200000">
                      <a:off x="0" y="0"/>
                      <a:ext cx="2156977" cy="1513462"/>
                    </a:xfrm>
                    <a:prstGeom prst="rect">
                      <a:avLst/>
                    </a:prstGeom>
                  </pic:spPr>
                </pic:pic>
              </a:graphicData>
            </a:graphic>
          </wp:inline>
        </w:drawing>
      </w:r>
    </w:p>
    <w:p w:rsidR="00921C2C" w:rsidRDefault="00921C2C" w:rsidP="00921C2C">
      <w:pPr>
        <w:pStyle w:val="Caption"/>
        <w:spacing w:before="120" w:after="120"/>
        <w:jc w:val="center"/>
        <w:rPr>
          <w:lang w:val="en-US"/>
        </w:rPr>
      </w:pPr>
      <w:bookmarkStart w:id="72" w:name="_Ref426646277"/>
      <w:r>
        <w:rPr>
          <w:lang w:val="en-US"/>
        </w:rPr>
        <w:t xml:space="preserve">Figure </w:t>
      </w:r>
      <w:r w:rsidR="00066E55" w:rsidRPr="00066E55">
        <w:rPr>
          <w:lang w:val="en-US"/>
        </w:rPr>
        <w:fldChar w:fldCharType="begin"/>
      </w:r>
      <w:r w:rsidRPr="00C777B6">
        <w:rPr>
          <w:lang w:val="en-US"/>
        </w:rPr>
        <w:instrText>SEQ "Figure" \*Arabic</w:instrText>
      </w:r>
      <w:r w:rsidR="00066E55">
        <w:fldChar w:fldCharType="separate"/>
      </w:r>
      <w:r w:rsidR="003B7F32">
        <w:rPr>
          <w:noProof/>
          <w:lang w:val="en-US"/>
        </w:rPr>
        <w:t>36</w:t>
      </w:r>
      <w:r w:rsidR="00066E55">
        <w:fldChar w:fldCharType="end"/>
      </w:r>
      <w:bookmarkEnd w:id="72"/>
      <w:r>
        <w:rPr>
          <w:lang w:val="en-US"/>
        </w:rPr>
        <w:t>: LBE void fraction in the vertical symmetry plane z=0 a) Full view b) Zoom to the barrel region c) vertical symmetry plane x=0</w:t>
      </w:r>
    </w:p>
    <w:p w:rsidR="00921C2C" w:rsidRDefault="00921C2C" w:rsidP="00921C2C">
      <w:pPr>
        <w:pStyle w:val="Normal1"/>
        <w:jc w:val="both"/>
        <w:rPr>
          <w:rFonts w:ascii="CG Omega" w:hAnsi="CG Omega"/>
          <w:iCs/>
          <w:sz w:val="22"/>
          <w:szCs w:val="22"/>
          <w:lang w:eastAsia="en-GB"/>
        </w:rPr>
      </w:pPr>
    </w:p>
    <w:p w:rsidR="00921C2C" w:rsidRPr="00BE76AA" w:rsidRDefault="00921C2C" w:rsidP="00BE76AA">
      <w:pPr>
        <w:pStyle w:val="BodyText"/>
      </w:pPr>
      <w:r w:rsidRPr="00BE76AA">
        <w:t>Other than these fountains, the free surface of the LBE is relatively smooth, only some wave like interference patterns are present (</w:t>
      </w:r>
      <w:fldSimple w:instr="REF _Ref426646922 \h \* MERGEFORMAT ">
        <w:r w:rsidR="003B7F32" w:rsidRPr="003B7F32">
          <w:t>Figure 37</w:t>
        </w:r>
      </w:fldSimple>
      <w:r w:rsidRPr="00BE76AA">
        <w:t xml:space="preserve">). </w:t>
      </w:r>
    </w:p>
    <w:p w:rsidR="00921C2C" w:rsidRDefault="00921C2C" w:rsidP="00921C2C">
      <w:pPr>
        <w:pStyle w:val="Normal1"/>
        <w:jc w:val="both"/>
        <w:rPr>
          <w:rFonts w:ascii="CG Omega" w:hAnsi="CG Omega"/>
          <w:iCs/>
          <w:sz w:val="22"/>
          <w:szCs w:val="22"/>
          <w:lang w:eastAsia="en-GB"/>
        </w:rPr>
      </w:pPr>
    </w:p>
    <w:p w:rsidR="00921C2C" w:rsidRDefault="00921C2C" w:rsidP="00921C2C">
      <w:pPr>
        <w:pStyle w:val="Normal1"/>
        <w:jc w:val="both"/>
        <w:rPr>
          <w:rFonts w:ascii="CG Omega" w:hAnsi="CG Omega"/>
          <w:iCs/>
          <w:sz w:val="22"/>
          <w:szCs w:val="22"/>
          <w:lang w:eastAsia="en-GB"/>
        </w:rPr>
      </w:pPr>
      <w:r>
        <w:rPr>
          <w:noProof/>
          <w:lang w:val="en-GB" w:eastAsia="en-GB" w:bidi="ar-SA"/>
        </w:rPr>
        <w:drawing>
          <wp:inline distT="0" distB="0" distL="0" distR="0">
            <wp:extent cx="2329129" cy="1595884"/>
            <wp:effectExtent l="19050" t="0" r="0" b="0"/>
            <wp:docPr id="301078" name="Picture" descr="free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freeSurface.jpg"/>
                    <pic:cNvPicPr>
                      <a:picLocks noChangeAspect="1" noChangeArrowheads="1"/>
                    </pic:cNvPicPr>
                  </pic:nvPicPr>
                  <pic:blipFill>
                    <a:blip r:embed="rId93" cstate="print"/>
                    <a:srcRect t="26314" b="-7516"/>
                    <a:stretch>
                      <a:fillRect/>
                    </a:stretch>
                  </pic:blipFill>
                  <pic:spPr bwMode="auto">
                    <a:xfrm>
                      <a:off x="0" y="0"/>
                      <a:ext cx="2332428" cy="1598144"/>
                    </a:xfrm>
                    <a:prstGeom prst="rect">
                      <a:avLst/>
                    </a:prstGeom>
                    <a:noFill/>
                    <a:ln w="9525">
                      <a:noFill/>
                      <a:miter lim="800000"/>
                      <a:headEnd/>
                      <a:tailEnd/>
                    </a:ln>
                  </pic:spPr>
                </pic:pic>
              </a:graphicData>
            </a:graphic>
          </wp:inline>
        </w:drawing>
      </w:r>
      <w:r>
        <w:rPr>
          <w:rFonts w:ascii="CG Omega" w:hAnsi="CG Omega"/>
          <w:iCs/>
          <w:sz w:val="22"/>
          <w:szCs w:val="22"/>
          <w:lang w:eastAsia="en-GB"/>
        </w:rPr>
        <w:t xml:space="preserve">   </w:t>
      </w:r>
      <w:r>
        <w:rPr>
          <w:rFonts w:ascii="CG Omega" w:hAnsi="CG Omega"/>
          <w:iCs/>
          <w:noProof/>
          <w:sz w:val="22"/>
          <w:szCs w:val="22"/>
          <w:lang w:val="en-GB" w:eastAsia="en-GB" w:bidi="ar-SA"/>
        </w:rPr>
        <w:drawing>
          <wp:inline distT="0" distB="0" distL="0" distR="0">
            <wp:extent cx="2191011" cy="1856679"/>
            <wp:effectExtent l="19050" t="0" r="0" b="0"/>
            <wp:docPr id="301079" name="Picture" descr="fount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fountains.jpg"/>
                    <pic:cNvPicPr>
                      <a:picLocks noChangeAspect="1" noChangeArrowheads="1"/>
                    </pic:cNvPicPr>
                  </pic:nvPicPr>
                  <pic:blipFill>
                    <a:blip r:embed="rId94" cstate="print"/>
                    <a:stretch>
                      <a:fillRect/>
                    </a:stretch>
                  </pic:blipFill>
                  <pic:spPr bwMode="auto">
                    <a:xfrm>
                      <a:off x="0" y="0"/>
                      <a:ext cx="2191933" cy="1857460"/>
                    </a:xfrm>
                    <a:prstGeom prst="rect">
                      <a:avLst/>
                    </a:prstGeom>
                    <a:noFill/>
                    <a:ln w="9525">
                      <a:noFill/>
                      <a:miter lim="800000"/>
                      <a:headEnd/>
                      <a:tailEnd/>
                    </a:ln>
                  </pic:spPr>
                </pic:pic>
              </a:graphicData>
            </a:graphic>
          </wp:inline>
        </w:drawing>
      </w:r>
      <w:r>
        <w:rPr>
          <w:rFonts w:ascii="CG Omega" w:hAnsi="CG Omega"/>
          <w:iCs/>
          <w:sz w:val="22"/>
          <w:szCs w:val="22"/>
          <w:lang w:eastAsia="en-GB"/>
        </w:rPr>
        <w:t xml:space="preserve">   </w:t>
      </w:r>
      <w:r w:rsidRPr="008B79DF">
        <w:rPr>
          <w:rFonts w:ascii="CG Omega" w:hAnsi="CG Omega"/>
          <w:iCs/>
          <w:noProof/>
          <w:sz w:val="22"/>
          <w:szCs w:val="22"/>
          <w:lang w:val="en-GB" w:eastAsia="en-GB" w:bidi="ar-SA"/>
        </w:rPr>
        <w:drawing>
          <wp:inline distT="0" distB="0" distL="0" distR="0">
            <wp:extent cx="888035" cy="1748333"/>
            <wp:effectExtent l="19050" t="0" r="7315" b="0"/>
            <wp:docPr id="52" name="Picture 2" descr="Umagn_yfree.png"/>
            <wp:cNvGraphicFramePr/>
            <a:graphic xmlns:a="http://schemas.openxmlformats.org/drawingml/2006/main">
              <a:graphicData uri="http://schemas.openxmlformats.org/drawingml/2006/picture">
                <pic:pic xmlns:pic="http://schemas.openxmlformats.org/drawingml/2006/picture">
                  <pic:nvPicPr>
                    <pic:cNvPr id="30725" name="Picture 9" descr="Umagn_yfree.png"/>
                    <pic:cNvPicPr>
                      <a:picLocks noChangeAspect="1" noChangeArrowheads="1"/>
                    </pic:cNvPicPr>
                  </pic:nvPicPr>
                  <pic:blipFill>
                    <a:blip r:embed="rId95" cstate="print"/>
                    <a:srcRect l="73488" t="39784"/>
                    <a:stretch>
                      <a:fillRect/>
                    </a:stretch>
                  </pic:blipFill>
                  <pic:spPr bwMode="auto">
                    <a:xfrm>
                      <a:off x="0" y="0"/>
                      <a:ext cx="887389" cy="1747061"/>
                    </a:xfrm>
                    <a:prstGeom prst="rect">
                      <a:avLst/>
                    </a:prstGeom>
                    <a:noFill/>
                    <a:ln w="9525">
                      <a:noFill/>
                      <a:miter lim="800000"/>
                      <a:headEnd/>
                      <a:tailEnd/>
                    </a:ln>
                  </pic:spPr>
                </pic:pic>
              </a:graphicData>
            </a:graphic>
          </wp:inline>
        </w:drawing>
      </w:r>
    </w:p>
    <w:p w:rsidR="00921C2C" w:rsidRDefault="00921C2C" w:rsidP="00921C2C">
      <w:pPr>
        <w:pStyle w:val="Caption"/>
        <w:spacing w:before="120" w:after="120"/>
        <w:jc w:val="center"/>
        <w:rPr>
          <w:lang w:val="en-US"/>
        </w:rPr>
      </w:pPr>
      <w:bookmarkStart w:id="73" w:name="_Ref426646922"/>
      <w:r>
        <w:rPr>
          <w:lang w:val="en-US"/>
        </w:rPr>
        <w:t xml:space="preserve">Figure </w:t>
      </w:r>
      <w:r w:rsidR="00066E55" w:rsidRPr="00066E55">
        <w:rPr>
          <w:lang w:val="en-US"/>
        </w:rPr>
        <w:fldChar w:fldCharType="begin"/>
      </w:r>
      <w:r w:rsidRPr="00C777B6">
        <w:rPr>
          <w:lang w:val="en-US"/>
        </w:rPr>
        <w:instrText>SEQ "Figure" \*Arabic</w:instrText>
      </w:r>
      <w:r w:rsidR="00066E55">
        <w:fldChar w:fldCharType="separate"/>
      </w:r>
      <w:r w:rsidR="003B7F32">
        <w:rPr>
          <w:noProof/>
          <w:lang w:val="en-US"/>
        </w:rPr>
        <w:t>37</w:t>
      </w:r>
      <w:r w:rsidR="00066E55">
        <w:fldChar w:fldCharType="end"/>
      </w:r>
      <w:bookmarkEnd w:id="73"/>
      <w:r>
        <w:rPr>
          <w:lang w:val="en-US"/>
        </w:rPr>
        <w:t>: LBE free surface level colored by velocity magnitude between 0-0.5 m/</w:t>
      </w:r>
      <w:proofErr w:type="gramStart"/>
      <w:r>
        <w:rPr>
          <w:lang w:val="en-US"/>
        </w:rPr>
        <w:t>s  a</w:t>
      </w:r>
      <w:proofErr w:type="gramEnd"/>
      <w:r>
        <w:rPr>
          <w:lang w:val="en-US"/>
        </w:rPr>
        <w:t xml:space="preserve">) Full view b) Zoom to the barrel region </w:t>
      </w:r>
    </w:p>
    <w:p w:rsidR="00921C2C" w:rsidRDefault="00921C2C" w:rsidP="00921C2C">
      <w:pPr>
        <w:pStyle w:val="Normal1"/>
        <w:jc w:val="both"/>
        <w:rPr>
          <w:rFonts w:ascii="CG Omega" w:hAnsi="CG Omega"/>
          <w:iCs/>
          <w:sz w:val="22"/>
          <w:szCs w:val="22"/>
          <w:lang w:eastAsia="en-GB"/>
        </w:rPr>
      </w:pPr>
    </w:p>
    <w:p w:rsidR="00921C2C" w:rsidRPr="00BE76AA" w:rsidRDefault="00921C2C" w:rsidP="00BE76AA">
      <w:pPr>
        <w:pStyle w:val="BodyText"/>
      </w:pPr>
      <w:r w:rsidRPr="00BE76AA">
        <w:t xml:space="preserve">Comparing the thermal fields, we can observe some differences. First of all, the thermal stratification is not as strong as for the steady case. The unsteady, multiphase solver predicts more mixing in the barrel, as well as, in the upper plenum. </w:t>
      </w:r>
      <w:r w:rsidR="00BC68A2" w:rsidRPr="00BE76AA">
        <w:t>Note</w:t>
      </w:r>
      <w:r w:rsidRPr="00BE76AA">
        <w:t xml:space="preserve"> that the current figures are extracted at computational time 180 seconds, </w:t>
      </w:r>
      <w:r w:rsidR="009E239E" w:rsidRPr="00BE76AA">
        <w:t xml:space="preserve">when </w:t>
      </w:r>
      <w:r w:rsidRPr="00BE76AA">
        <w:t>the temperature field is most probably not yet fully developed.</w:t>
      </w:r>
    </w:p>
    <w:p w:rsidR="00921C2C" w:rsidRPr="00B36F60" w:rsidRDefault="00921C2C" w:rsidP="00B36F60">
      <w:pPr>
        <w:jc w:val="both"/>
        <w:rPr>
          <w:shd w:val="clear" w:color="auto" w:fill="FFFFFF"/>
        </w:rPr>
      </w:pPr>
    </w:p>
    <w:p w:rsidR="00921C2C" w:rsidRDefault="00921C2C" w:rsidP="00921C2C">
      <w:pPr>
        <w:pStyle w:val="Normal1"/>
        <w:jc w:val="both"/>
      </w:pPr>
      <w:r>
        <w:rPr>
          <w:noProof/>
          <w:lang w:val="en-GB" w:eastAsia="en-GB" w:bidi="ar-SA"/>
        </w:rPr>
        <w:lastRenderedPageBreak/>
        <w:drawing>
          <wp:inline distT="0" distB="0" distL="0" distR="0">
            <wp:extent cx="3085465" cy="2304415"/>
            <wp:effectExtent l="0" t="0" r="0" b="0"/>
            <wp:docPr id="301082" name="Picture" descr="Comp_T_z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Comp_T_z0.png"/>
                    <pic:cNvPicPr>
                      <a:picLocks noChangeAspect="1" noChangeArrowheads="1"/>
                    </pic:cNvPicPr>
                  </pic:nvPicPr>
                  <pic:blipFill>
                    <a:blip r:embed="rId96" cstate="print"/>
                    <a:srcRect t="10669" r="44462"/>
                    <a:stretch>
                      <a:fillRect/>
                    </a:stretch>
                  </pic:blipFill>
                  <pic:spPr bwMode="auto">
                    <a:xfrm>
                      <a:off x="0" y="0"/>
                      <a:ext cx="3085465" cy="2304415"/>
                    </a:xfrm>
                    <a:prstGeom prst="rect">
                      <a:avLst/>
                    </a:prstGeom>
                    <a:noFill/>
                    <a:ln w="9525">
                      <a:noFill/>
                      <a:miter lim="800000"/>
                      <a:headEnd/>
                      <a:tailEnd/>
                    </a:ln>
                  </pic:spPr>
                </pic:pic>
              </a:graphicData>
            </a:graphic>
          </wp:inline>
        </w:drawing>
      </w:r>
      <w:r>
        <w:rPr>
          <w:noProof/>
          <w:lang w:val="en-GB" w:eastAsia="en-GB" w:bidi="ar-SA"/>
        </w:rPr>
        <w:drawing>
          <wp:inline distT="0" distB="0" distL="0" distR="0">
            <wp:extent cx="2466975" cy="2415540"/>
            <wp:effectExtent l="0" t="0" r="0" b="0"/>
            <wp:docPr id="301083" name="Picture" descr="temper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temperature.jpg"/>
                    <pic:cNvPicPr>
                      <a:picLocks noChangeAspect="1" noChangeArrowheads="1"/>
                    </pic:cNvPicPr>
                  </pic:nvPicPr>
                  <pic:blipFill>
                    <a:blip r:embed="rId97" cstate="print"/>
                    <a:srcRect l="20340" t="16628" r="17801" b="10730"/>
                    <a:stretch>
                      <a:fillRect/>
                    </a:stretch>
                  </pic:blipFill>
                  <pic:spPr bwMode="auto">
                    <a:xfrm>
                      <a:off x="0" y="0"/>
                      <a:ext cx="2466975" cy="2415540"/>
                    </a:xfrm>
                    <a:prstGeom prst="rect">
                      <a:avLst/>
                    </a:prstGeom>
                    <a:noFill/>
                    <a:ln w="9525">
                      <a:noFill/>
                      <a:miter lim="800000"/>
                      <a:headEnd/>
                      <a:tailEnd/>
                    </a:ln>
                  </pic:spPr>
                </pic:pic>
              </a:graphicData>
            </a:graphic>
          </wp:inline>
        </w:drawing>
      </w:r>
    </w:p>
    <w:p w:rsidR="00921C2C" w:rsidRDefault="00921C2C" w:rsidP="00921C2C">
      <w:pPr>
        <w:pStyle w:val="Caption"/>
        <w:spacing w:before="120" w:after="120"/>
        <w:jc w:val="center"/>
        <w:rPr>
          <w:lang w:val="en-US"/>
        </w:rPr>
      </w:pPr>
      <w:r>
        <w:rPr>
          <w:lang w:val="en-US"/>
        </w:rPr>
        <w:t xml:space="preserve">Figure </w:t>
      </w:r>
      <w:r w:rsidR="00066E55" w:rsidRPr="00066E55">
        <w:rPr>
          <w:lang w:val="en-US"/>
        </w:rPr>
        <w:fldChar w:fldCharType="begin"/>
      </w:r>
      <w:r w:rsidRPr="00C777B6">
        <w:rPr>
          <w:lang w:val="en-US"/>
        </w:rPr>
        <w:instrText>SEQ "Figure" \*Arabic</w:instrText>
      </w:r>
      <w:r w:rsidR="00066E55">
        <w:fldChar w:fldCharType="separate"/>
      </w:r>
      <w:r w:rsidR="003B7F32">
        <w:rPr>
          <w:noProof/>
          <w:lang w:val="en-US"/>
        </w:rPr>
        <w:t>38</w:t>
      </w:r>
      <w:r w:rsidR="00066E55">
        <w:fldChar w:fldCharType="end"/>
      </w:r>
      <w:r>
        <w:rPr>
          <w:lang w:val="en-US"/>
        </w:rPr>
        <w:t xml:space="preserve">: Temperature contours in the vertical symmetry plane z=0. a) Single phase, steady-state simulation b) Multiphase, unsteady simulation </w:t>
      </w:r>
    </w:p>
    <w:p w:rsidR="00921C2C" w:rsidRDefault="00921C2C" w:rsidP="00921C2C">
      <w:pPr>
        <w:pStyle w:val="Normal1"/>
        <w:jc w:val="both"/>
        <w:rPr>
          <w:rFonts w:ascii="CG Omega" w:hAnsi="CG Omega"/>
          <w:iCs/>
          <w:sz w:val="22"/>
          <w:szCs w:val="22"/>
          <w:lang w:eastAsia="en-GB"/>
        </w:rPr>
      </w:pPr>
    </w:p>
    <w:p w:rsidR="00921C2C" w:rsidRPr="00BE76AA" w:rsidRDefault="00921C2C" w:rsidP="00BE76AA">
      <w:pPr>
        <w:pStyle w:val="BodyText"/>
      </w:pPr>
      <w:r w:rsidRPr="00BE76AA">
        <w:t xml:space="preserve">On the top of the </w:t>
      </w:r>
      <w:r w:rsidR="00EB7D0F" w:rsidRPr="00BE76AA">
        <w:t xml:space="preserve">computational domain </w:t>
      </w:r>
      <w:r w:rsidRPr="00BE76AA">
        <w:t xml:space="preserve">for the steady state </w:t>
      </w:r>
      <w:r w:rsidR="00EB7D0F" w:rsidRPr="00BE76AA">
        <w:t xml:space="preserve">model, </w:t>
      </w:r>
      <w:r w:rsidRPr="00BE76AA">
        <w:t xml:space="preserve">a symmetry boundary condition was imposed for the temperature, </w:t>
      </w:r>
      <w:r w:rsidR="00EB7D0F" w:rsidRPr="00BE76AA">
        <w:t xml:space="preserve">corresponding </w:t>
      </w:r>
      <w:r w:rsidRPr="00BE76AA">
        <w:t xml:space="preserve">for the multiphase simulation </w:t>
      </w:r>
      <w:r w:rsidR="00EB7D0F" w:rsidRPr="00BE76AA">
        <w:t xml:space="preserve">to </w:t>
      </w:r>
      <w:r w:rsidRPr="00BE76AA">
        <w:t>the free surface</w:t>
      </w:r>
      <w:r w:rsidR="00EB7D0F" w:rsidRPr="00BE76AA">
        <w:t xml:space="preserve"> location</w:t>
      </w:r>
      <w:r w:rsidRPr="00BE76AA">
        <w:t xml:space="preserve">. The boundary condition at the cover wall, for the </w:t>
      </w:r>
      <w:proofErr w:type="spellStart"/>
      <w:r w:rsidRPr="00BE76AA">
        <w:t>V</w:t>
      </w:r>
      <w:r w:rsidR="00DA3C4A" w:rsidRPr="00BE76AA">
        <w:t>o</w:t>
      </w:r>
      <w:r w:rsidRPr="00BE76AA">
        <w:t>F</w:t>
      </w:r>
      <w:proofErr w:type="spellEnd"/>
      <w:r w:rsidRPr="00BE76AA">
        <w:t xml:space="preserve"> case, was set to adiabatic wall.</w:t>
      </w:r>
    </w:p>
    <w:p w:rsidR="00921C2C" w:rsidRPr="00BE76AA" w:rsidRDefault="00921C2C" w:rsidP="00BE76AA">
      <w:pPr>
        <w:pStyle w:val="BodyText"/>
      </w:pPr>
      <w:r w:rsidRPr="00BE76AA">
        <w:t xml:space="preserve">The hot LBE rising in the barrel heats up the argon above </w:t>
      </w:r>
      <w:r w:rsidR="00D9527A" w:rsidRPr="00BE76AA">
        <w:t xml:space="preserve">but since the flow in the argon is not of interest, </w:t>
      </w:r>
      <w:r w:rsidR="00390B94">
        <w:t>the cover gas is modelled as a fluid with constant density</w:t>
      </w:r>
      <w:r w:rsidRPr="00BE76AA">
        <w:t>. We can see that hot plumes are exiting through the upper barrel holes</w:t>
      </w:r>
    </w:p>
    <w:p w:rsidR="00921C2C" w:rsidRDefault="00921C2C" w:rsidP="00921C2C">
      <w:pPr>
        <w:pStyle w:val="Normal1"/>
      </w:pPr>
      <w:r>
        <w:rPr>
          <w:noProof/>
          <w:lang w:val="en-GB" w:eastAsia="en-GB" w:bidi="ar-SA"/>
        </w:rPr>
        <w:drawing>
          <wp:inline distT="0" distB="0" distL="0" distR="0">
            <wp:extent cx="2952750" cy="2502535"/>
            <wp:effectExtent l="0" t="0" r="0" b="0"/>
            <wp:docPr id="301084" name="Picture" descr="temperature_free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temperature_free surface.jpg"/>
                    <pic:cNvPicPr>
                      <a:picLocks noChangeAspect="1" noChangeArrowheads="1"/>
                    </pic:cNvPicPr>
                  </pic:nvPicPr>
                  <pic:blipFill>
                    <a:blip r:embed="rId98" cstate="print"/>
                    <a:stretch>
                      <a:fillRect/>
                    </a:stretch>
                  </pic:blipFill>
                  <pic:spPr bwMode="auto">
                    <a:xfrm>
                      <a:off x="0" y="0"/>
                      <a:ext cx="2952750" cy="2502535"/>
                    </a:xfrm>
                    <a:prstGeom prst="rect">
                      <a:avLst/>
                    </a:prstGeom>
                    <a:noFill/>
                    <a:ln w="9525">
                      <a:noFill/>
                      <a:miter lim="800000"/>
                      <a:headEnd/>
                      <a:tailEnd/>
                    </a:ln>
                  </pic:spPr>
                </pic:pic>
              </a:graphicData>
            </a:graphic>
          </wp:inline>
        </w:drawing>
      </w:r>
      <w:r w:rsidR="00BE76AA" w:rsidRPr="00BE76AA">
        <w:rPr>
          <w:noProof/>
          <w:lang w:val="en-GB" w:eastAsia="en-GB" w:bidi="ar-SA"/>
        </w:rPr>
        <w:drawing>
          <wp:inline distT="0" distB="0" distL="0" distR="0">
            <wp:extent cx="2350770" cy="2625725"/>
            <wp:effectExtent l="19050" t="0" r="0" b="0"/>
            <wp:docPr id="301064" name="shape_0" descr="image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_0" descr="image571"/>
                    <pic:cNvPicPr preferRelativeResize="0">
                      <a:picLocks noChangeArrowheads="1"/>
                    </pic:cNvPicPr>
                  </pic:nvPicPr>
                  <pic:blipFill>
                    <a:blip r:embed="rId99" cstate="print"/>
                    <a:srcRect/>
                    <a:stretch>
                      <a:fillRect/>
                    </a:stretch>
                  </pic:blipFill>
                  <pic:spPr bwMode="auto">
                    <a:xfrm>
                      <a:off x="0" y="0"/>
                      <a:ext cx="2350770" cy="2625725"/>
                    </a:xfrm>
                    <a:prstGeom prst="rect">
                      <a:avLst/>
                    </a:prstGeom>
                    <a:solidFill>
                      <a:srgbClr val="FFFFFF"/>
                    </a:solidFill>
                    <a:ln w="9525" cap="flat">
                      <a:noFill/>
                      <a:round/>
                      <a:headEnd/>
                      <a:tailEnd/>
                    </a:ln>
                  </pic:spPr>
                </pic:pic>
              </a:graphicData>
            </a:graphic>
          </wp:inline>
        </w:drawing>
      </w:r>
    </w:p>
    <w:p w:rsidR="00921C2C" w:rsidRDefault="00921C2C" w:rsidP="00921C2C">
      <w:pPr>
        <w:pStyle w:val="Caption"/>
        <w:spacing w:before="120" w:after="120"/>
        <w:jc w:val="center"/>
        <w:rPr>
          <w:lang w:val="en-US"/>
        </w:rPr>
      </w:pPr>
    </w:p>
    <w:p w:rsidR="00921C2C" w:rsidRDefault="00921C2C" w:rsidP="00921C2C">
      <w:pPr>
        <w:pStyle w:val="Caption"/>
        <w:spacing w:before="120" w:after="120"/>
        <w:jc w:val="center"/>
        <w:rPr>
          <w:lang w:val="en-US"/>
        </w:rPr>
      </w:pPr>
      <w:r>
        <w:rPr>
          <w:lang w:val="en-US"/>
        </w:rPr>
        <w:t xml:space="preserve">Figure </w:t>
      </w:r>
      <w:r w:rsidR="00066E55" w:rsidRPr="00066E55">
        <w:rPr>
          <w:lang w:val="en-US"/>
        </w:rPr>
        <w:fldChar w:fldCharType="begin"/>
      </w:r>
      <w:r w:rsidRPr="00C777B6">
        <w:rPr>
          <w:lang w:val="en-US"/>
        </w:rPr>
        <w:instrText>SEQ "Figure" \*Arabic</w:instrText>
      </w:r>
      <w:r w:rsidR="00066E55">
        <w:fldChar w:fldCharType="separate"/>
      </w:r>
      <w:r w:rsidR="003B7F32">
        <w:rPr>
          <w:noProof/>
          <w:lang w:val="en-US"/>
        </w:rPr>
        <w:t>39</w:t>
      </w:r>
      <w:r w:rsidR="00066E55">
        <w:fldChar w:fldCharType="end"/>
      </w:r>
      <w:r>
        <w:rPr>
          <w:lang w:val="en-US"/>
        </w:rPr>
        <w:t xml:space="preserve">: Temperature contours in the vertical symmetry plane z=0. a) Single phase, steady-state simulation b) Multiphase, unsteady simulation </w:t>
      </w:r>
    </w:p>
    <w:p w:rsidR="00921C2C" w:rsidRDefault="00921C2C" w:rsidP="00921C2C">
      <w:pPr>
        <w:pStyle w:val="Normal1"/>
      </w:pPr>
    </w:p>
    <w:p w:rsidR="0011347A" w:rsidRDefault="0011347A" w:rsidP="0011347A">
      <w:pPr>
        <w:pStyle w:val="Heading1"/>
      </w:pPr>
      <w:bookmarkStart w:id="74" w:name="_Toc478990103"/>
      <w:r>
        <w:lastRenderedPageBreak/>
        <w:t>What next</w:t>
      </w:r>
      <w:r w:rsidR="00726881">
        <w:t xml:space="preserve"> (conclusion)</w:t>
      </w:r>
      <w:bookmarkEnd w:id="74"/>
    </w:p>
    <w:p w:rsidR="00891BE4" w:rsidRPr="00C96394" w:rsidRDefault="00A07B98" w:rsidP="00C96394">
      <w:pPr>
        <w:pStyle w:val="BodyText"/>
      </w:pPr>
      <w:r w:rsidRPr="00C96394">
        <w:t>Due to the complex geometry and the interaction of the various physical phenomena in a nuclear reactor, the numerical analysis of such systems is very challenging. However, t</w:t>
      </w:r>
      <w:r w:rsidR="00891BE4" w:rsidRPr="00C96394">
        <w:t xml:space="preserve">he ultimate advantage of numerical simulation is that it allows a detailed look inside an existing </w:t>
      </w:r>
      <w:r w:rsidR="00DD1787" w:rsidRPr="00C96394">
        <w:t>domain</w:t>
      </w:r>
      <w:r w:rsidR="00891BE4" w:rsidRPr="00C96394">
        <w:t xml:space="preserve">, which </w:t>
      </w:r>
      <w:r w:rsidR="00C96394">
        <w:t xml:space="preserve">could not be obtained </w:t>
      </w:r>
      <w:r w:rsidR="00DD1787" w:rsidRPr="00C96394">
        <w:t xml:space="preserve">only through experimental </w:t>
      </w:r>
      <w:r w:rsidR="00891BE4" w:rsidRPr="00C96394">
        <w:t xml:space="preserve">measurement, or </w:t>
      </w:r>
      <w:r w:rsidR="00DD1787" w:rsidRPr="00C96394">
        <w:t xml:space="preserve">inside </w:t>
      </w:r>
      <w:r w:rsidR="00891BE4" w:rsidRPr="00C96394">
        <w:t xml:space="preserve">a facility that </w:t>
      </w:r>
      <w:r w:rsidR="00DD1787" w:rsidRPr="00C96394">
        <w:t>is</w:t>
      </w:r>
      <w:r w:rsidR="002C58B6" w:rsidRPr="00C96394">
        <w:t xml:space="preserve"> yet</w:t>
      </w:r>
      <w:r w:rsidR="00891BE4" w:rsidRPr="00C96394">
        <w:t xml:space="preserve"> only present on the design table.</w:t>
      </w:r>
    </w:p>
    <w:p w:rsidR="00CC4CF1" w:rsidRDefault="00CC4CF1" w:rsidP="00DA3C4A"/>
    <w:p w:rsidR="00CC4CF1" w:rsidRPr="00CC4CF1" w:rsidRDefault="00CC4CF1" w:rsidP="00CC4CF1">
      <w:pPr>
        <w:jc w:val="center"/>
        <w:rPr>
          <w:lang w:val="hu-HU"/>
        </w:rPr>
      </w:pPr>
      <w:r w:rsidRPr="00CC4CF1">
        <w:rPr>
          <w:noProof/>
          <w:lang w:eastAsia="en-GB"/>
        </w:rPr>
        <w:drawing>
          <wp:inline distT="0" distB="0" distL="0" distR="0">
            <wp:extent cx="2329129" cy="1595884"/>
            <wp:effectExtent l="19050" t="0" r="0" b="0"/>
            <wp:docPr id="301086" name="Picture" descr="free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freeSurface.jpg"/>
                    <pic:cNvPicPr>
                      <a:picLocks noChangeAspect="1" noChangeArrowheads="1"/>
                    </pic:cNvPicPr>
                  </pic:nvPicPr>
                  <pic:blipFill>
                    <a:blip r:embed="rId93" cstate="print"/>
                    <a:srcRect t="26314" b="-7516"/>
                    <a:stretch>
                      <a:fillRect/>
                    </a:stretch>
                  </pic:blipFill>
                  <pic:spPr bwMode="auto">
                    <a:xfrm>
                      <a:off x="0" y="0"/>
                      <a:ext cx="2332428" cy="1598144"/>
                    </a:xfrm>
                    <a:prstGeom prst="rect">
                      <a:avLst/>
                    </a:prstGeom>
                    <a:noFill/>
                    <a:ln w="9525">
                      <a:noFill/>
                      <a:miter lim="800000"/>
                      <a:headEnd/>
                      <a:tailEnd/>
                    </a:ln>
                  </pic:spPr>
                </pic:pic>
              </a:graphicData>
            </a:graphic>
          </wp:inline>
        </w:drawing>
      </w:r>
      <w:r>
        <w:rPr>
          <w:lang w:val="hu-HU"/>
        </w:rPr>
        <w:t xml:space="preserve">     </w:t>
      </w:r>
      <w:r w:rsidRPr="00CC4CF1">
        <w:rPr>
          <w:noProof/>
          <w:lang w:eastAsia="en-GB"/>
        </w:rPr>
        <w:drawing>
          <wp:inline distT="0" distB="0" distL="0" distR="0">
            <wp:extent cx="2390123" cy="1724688"/>
            <wp:effectExtent l="19050" t="0" r="0" b="0"/>
            <wp:docPr id="301087" name="Picture 1" descr="Y:\DEMOCRITOS\Technical_meetings\Pictures\December2016\myrrhaVOF_free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MOCRITOS\Technical_meetings\Pictures\December2016\myrrhaVOF_freeSurface.jpg"/>
                    <pic:cNvPicPr>
                      <a:picLocks noChangeAspect="1" noChangeArrowheads="1"/>
                    </pic:cNvPicPr>
                  </pic:nvPicPr>
                  <pic:blipFill>
                    <a:blip r:embed="rId100" cstate="print"/>
                    <a:srcRect/>
                    <a:stretch>
                      <a:fillRect/>
                    </a:stretch>
                  </pic:blipFill>
                  <pic:spPr bwMode="auto">
                    <a:xfrm>
                      <a:off x="0" y="0"/>
                      <a:ext cx="2393228" cy="1726929"/>
                    </a:xfrm>
                    <a:prstGeom prst="rect">
                      <a:avLst/>
                    </a:prstGeom>
                    <a:noFill/>
                    <a:ln w="9525">
                      <a:noFill/>
                      <a:miter lim="800000"/>
                      <a:headEnd/>
                      <a:tailEnd/>
                    </a:ln>
                  </pic:spPr>
                </pic:pic>
              </a:graphicData>
            </a:graphic>
          </wp:inline>
        </w:drawing>
      </w:r>
    </w:p>
    <w:p w:rsidR="00CC4CF1" w:rsidRDefault="00CC4CF1" w:rsidP="00CC4CF1">
      <w:pPr>
        <w:pStyle w:val="Caption"/>
        <w:spacing w:before="120" w:after="120"/>
        <w:jc w:val="center"/>
        <w:rPr>
          <w:lang w:val="en-US"/>
        </w:rPr>
      </w:pPr>
      <w:r>
        <w:rPr>
          <w:lang w:val="en-US"/>
        </w:rPr>
        <w:t xml:space="preserve">Figure </w:t>
      </w:r>
      <w:r w:rsidR="00066E55" w:rsidRPr="00066E55">
        <w:rPr>
          <w:lang w:val="en-US"/>
        </w:rPr>
        <w:fldChar w:fldCharType="begin"/>
      </w:r>
      <w:r w:rsidRPr="00C777B6">
        <w:rPr>
          <w:lang w:val="en-US"/>
        </w:rPr>
        <w:instrText>SEQ "Figure" \*Arabic</w:instrText>
      </w:r>
      <w:r w:rsidR="00066E55">
        <w:fldChar w:fldCharType="separate"/>
      </w:r>
      <w:r w:rsidR="003B7F32">
        <w:rPr>
          <w:noProof/>
          <w:lang w:val="en-US"/>
        </w:rPr>
        <w:t>40</w:t>
      </w:r>
      <w:r w:rsidR="00066E55">
        <w:fldChar w:fldCharType="end"/>
      </w:r>
      <w:r>
        <w:rPr>
          <w:lang w:val="en-US"/>
        </w:rPr>
        <w:t>: LBE free surface level colored by velocity magnitude between 0-0.5 m/</w:t>
      </w:r>
      <w:proofErr w:type="gramStart"/>
      <w:r>
        <w:rPr>
          <w:lang w:val="en-US"/>
        </w:rPr>
        <w:t>s  a</w:t>
      </w:r>
      <w:proofErr w:type="gramEnd"/>
      <w:r>
        <w:rPr>
          <w:lang w:val="en-US"/>
        </w:rPr>
        <w:t xml:space="preserve">) design version 1.4 b) design version 1.6 </w:t>
      </w:r>
    </w:p>
    <w:p w:rsidR="002416D4" w:rsidRDefault="002416D4" w:rsidP="00DA3C4A"/>
    <w:p w:rsidR="002416D4" w:rsidRDefault="00C96394" w:rsidP="00C96394">
      <w:pPr>
        <w:pStyle w:val="BodyText"/>
      </w:pPr>
      <w:r>
        <w:t xml:space="preserve">Such </w:t>
      </w:r>
      <w:r w:rsidR="00744186">
        <w:t xml:space="preserve">second case is the MYRRHA reactor. The thermo-hydraulic simulations are integrated to the design process. Based on the results and the structural constraints the design can be updated leading to a more efficient geometry. Such a geometrical modification is the re-design of the Above Core Structure between the design version 1.4 and 1.6. </w:t>
      </w:r>
      <w:r w:rsidR="009F1928">
        <w:t xml:space="preserve">The above core of the 1.4 version had holes driving the hot fluid arriving from the core to the upper plenum in a staggered way. Depending on the free surface level of the upper plenum, it is possible to have higher LBE level inside the barrel than outside leading to small fountains of liquid metal. In order to avoid this situation, in the design version 1.6 the holes are elongated. </w:t>
      </w:r>
      <w:r w:rsidR="002C58B6">
        <w:t xml:space="preserve">In this </w:t>
      </w:r>
      <w:r w:rsidR="009F1928">
        <w:t>way</w:t>
      </w:r>
      <w:r w:rsidR="002C58B6">
        <w:t>,</w:t>
      </w:r>
      <w:r w:rsidR="009F1928">
        <w:t xml:space="preserve"> at every level there is a region where the LBE can leave the barrel, not allowing the previously described level difference. The other modification adopted based on the simulation results in the barrel is a multi-level plate that forces the hot LBE </w:t>
      </w:r>
      <w:r w:rsidR="002C58B6">
        <w:t xml:space="preserve">to </w:t>
      </w:r>
      <w:r w:rsidR="009F1928">
        <w:t>leave the barrel before the free-surface</w:t>
      </w:r>
      <w:r w:rsidR="002C58B6">
        <w:t>,</w:t>
      </w:r>
      <w:r w:rsidR="009F1928">
        <w:t xml:space="preserve"> enhancing the mixing and resulting in less thermal stratification.</w:t>
      </w:r>
    </w:p>
    <w:p w:rsidR="00CC4CF1" w:rsidRDefault="00CC4CF1" w:rsidP="00DA3C4A"/>
    <w:p w:rsidR="00CC4CF1" w:rsidRDefault="00CC4CF1" w:rsidP="00DA3C4A">
      <w:r w:rsidRPr="00CC4CF1">
        <w:rPr>
          <w:noProof/>
          <w:lang w:eastAsia="en-GB"/>
        </w:rPr>
        <w:lastRenderedPageBreak/>
        <w:drawing>
          <wp:inline distT="0" distB="0" distL="0" distR="0">
            <wp:extent cx="1890160" cy="2082182"/>
            <wp:effectExtent l="19050" t="0" r="0" b="0"/>
            <wp:docPr id="32" name="shape_0" descr="image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_0" descr="image571"/>
                    <pic:cNvPicPr preferRelativeResize="0">
                      <a:picLocks noChangeArrowheads="1"/>
                    </pic:cNvPicPr>
                  </pic:nvPicPr>
                  <pic:blipFill>
                    <a:blip r:embed="rId99" cstate="print"/>
                    <a:srcRect t="12401" r="5324"/>
                    <a:stretch>
                      <a:fillRect/>
                    </a:stretch>
                  </pic:blipFill>
                  <pic:spPr bwMode="auto">
                    <a:xfrm>
                      <a:off x="0" y="0"/>
                      <a:ext cx="1891239" cy="2083371"/>
                    </a:xfrm>
                    <a:prstGeom prst="rect">
                      <a:avLst/>
                    </a:prstGeom>
                    <a:solidFill>
                      <a:srgbClr val="FFFFFF"/>
                    </a:solidFill>
                    <a:ln w="9525" cap="flat">
                      <a:noFill/>
                      <a:round/>
                      <a:headEnd/>
                      <a:tailEnd/>
                    </a:ln>
                  </pic:spPr>
                </pic:pic>
              </a:graphicData>
            </a:graphic>
          </wp:inline>
        </w:drawing>
      </w:r>
      <w:r w:rsidR="00863DAD">
        <w:t xml:space="preserve">           </w:t>
      </w:r>
      <w:r>
        <w:rPr>
          <w:noProof/>
          <w:lang w:eastAsia="en-GB"/>
        </w:rPr>
        <w:drawing>
          <wp:inline distT="0" distB="0" distL="0" distR="0">
            <wp:extent cx="3237717" cy="2083921"/>
            <wp:effectExtent l="19050" t="0" r="783" b="0"/>
            <wp:docPr id="34" name="Picture 3" descr="Y:\DEMOCRITOS\Technical_meetings\Pictures\February2017\temperature_x_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DEMOCRITOS\Technical_meetings\Pictures\February2017\temperature_x_Plane.jpg"/>
                    <pic:cNvPicPr>
                      <a:picLocks noChangeAspect="1" noChangeArrowheads="1"/>
                    </pic:cNvPicPr>
                  </pic:nvPicPr>
                  <pic:blipFill>
                    <a:blip r:embed="rId101" cstate="print"/>
                    <a:srcRect l="31906" t="18800" r="14759" b="27520"/>
                    <a:stretch>
                      <a:fillRect/>
                    </a:stretch>
                  </pic:blipFill>
                  <pic:spPr bwMode="auto">
                    <a:xfrm>
                      <a:off x="0" y="0"/>
                      <a:ext cx="3237716" cy="2083920"/>
                    </a:xfrm>
                    <a:prstGeom prst="rect">
                      <a:avLst/>
                    </a:prstGeom>
                    <a:noFill/>
                    <a:ln w="9525">
                      <a:noFill/>
                      <a:miter lim="800000"/>
                      <a:headEnd/>
                      <a:tailEnd/>
                    </a:ln>
                  </pic:spPr>
                </pic:pic>
              </a:graphicData>
            </a:graphic>
          </wp:inline>
        </w:drawing>
      </w:r>
    </w:p>
    <w:p w:rsidR="00891BE4" w:rsidRPr="00CC4CF1" w:rsidRDefault="00863DAD" w:rsidP="00863DAD">
      <w:pPr>
        <w:pStyle w:val="Caption"/>
        <w:spacing w:before="120" w:after="120"/>
        <w:jc w:val="center"/>
        <w:rPr>
          <w:lang w:val="en-US"/>
        </w:rPr>
      </w:pPr>
      <w:r>
        <w:rPr>
          <w:lang w:val="en-US"/>
        </w:rPr>
        <w:t xml:space="preserve">Figure </w:t>
      </w:r>
      <w:r w:rsidR="00066E55" w:rsidRPr="00066E55">
        <w:rPr>
          <w:lang w:val="en-US"/>
        </w:rPr>
        <w:fldChar w:fldCharType="begin"/>
      </w:r>
      <w:r w:rsidRPr="00C777B6">
        <w:rPr>
          <w:lang w:val="en-US"/>
        </w:rPr>
        <w:instrText>SEQ "Figure" \*Arabic</w:instrText>
      </w:r>
      <w:r w:rsidR="00066E55">
        <w:fldChar w:fldCharType="separate"/>
      </w:r>
      <w:r w:rsidR="003B7F32">
        <w:rPr>
          <w:noProof/>
          <w:lang w:val="en-US"/>
        </w:rPr>
        <w:t>41</w:t>
      </w:r>
      <w:r w:rsidR="00066E55">
        <w:fldChar w:fldCharType="end"/>
      </w:r>
      <w:r>
        <w:rPr>
          <w:lang w:val="en-US"/>
        </w:rPr>
        <w:t xml:space="preserve">: Temperature contours in the vertical symmetry plane z=0. a) </w:t>
      </w:r>
      <w:proofErr w:type="gramStart"/>
      <w:r>
        <w:rPr>
          <w:lang w:val="en-US"/>
        </w:rPr>
        <w:t>design</w:t>
      </w:r>
      <w:proofErr w:type="gramEnd"/>
      <w:r>
        <w:rPr>
          <w:lang w:val="en-US"/>
        </w:rPr>
        <w:t xml:space="preserve"> version 1.4 b) design version 1.6 </w:t>
      </w:r>
    </w:p>
    <w:p w:rsidR="007D0318" w:rsidRDefault="007D0318" w:rsidP="00DA3C4A"/>
    <w:p w:rsidR="00891BE4" w:rsidRDefault="002416D4" w:rsidP="00930885">
      <w:pPr>
        <w:pStyle w:val="BodyText"/>
      </w:pPr>
      <w:r>
        <w:t xml:space="preserve">To perform such simulations </w:t>
      </w:r>
      <w:r w:rsidR="002C58B6">
        <w:t xml:space="preserve">is </w:t>
      </w:r>
      <w:r>
        <w:t xml:space="preserve">not easy and </w:t>
      </w:r>
      <w:r w:rsidR="002C58B6">
        <w:t xml:space="preserve">is </w:t>
      </w:r>
      <w:r>
        <w:t>computationally relatively expensive</w:t>
      </w:r>
      <w:r w:rsidR="007D0318">
        <w:t>. Moreover, it</w:t>
      </w:r>
      <w:r w:rsidR="00891BE4">
        <w:t xml:space="preserve"> is the responsibility of the researcher to employ the most relevant models, improve them, if needed, </w:t>
      </w:r>
      <w:r w:rsidR="002C58B6">
        <w:t xml:space="preserve">in </w:t>
      </w:r>
      <w:r w:rsidR="00891BE4">
        <w:t xml:space="preserve">such </w:t>
      </w:r>
      <w:r w:rsidR="002C58B6">
        <w:t xml:space="preserve">a </w:t>
      </w:r>
      <w:r w:rsidR="00891BE4">
        <w:t xml:space="preserve">way </w:t>
      </w:r>
      <w:r w:rsidR="002C58B6">
        <w:t xml:space="preserve">to </w:t>
      </w:r>
      <w:r w:rsidR="00891BE4">
        <w:t xml:space="preserve">enhance the strategy of numerical simulation of pool configurations. As such, these simulations are the result of a joint effort of many years of fundamental research </w:t>
      </w:r>
      <w:r w:rsidR="00B86220">
        <w:t>in the field of mathematics, physics, sometimes chemistry and computational sciences</w:t>
      </w:r>
      <w:r w:rsidR="00896AAF">
        <w:t xml:space="preserve">. The need of this synergy </w:t>
      </w:r>
      <w:r w:rsidR="002C58B6">
        <w:t xml:space="preserve">led </w:t>
      </w:r>
      <w:r w:rsidR="00B86220">
        <w:t>to the relative late start of the application of CFD in the field of nuclear research.</w:t>
      </w:r>
    </w:p>
    <w:p w:rsidR="004F48B9" w:rsidRDefault="00E1242E" w:rsidP="00930885">
      <w:pPr>
        <w:pStyle w:val="BodyText"/>
      </w:pPr>
      <w:r>
        <w:t xml:space="preserve">The numerical simulation of pool type configurations </w:t>
      </w:r>
      <w:r w:rsidR="00C4382C">
        <w:t xml:space="preserve">is a </w:t>
      </w:r>
      <w:r>
        <w:t>w</w:t>
      </w:r>
      <w:r w:rsidR="00726881">
        <w:t>ork continuously in progress</w:t>
      </w:r>
      <w:r w:rsidR="003C6085">
        <w:t>…</w:t>
      </w:r>
    </w:p>
    <w:p w:rsidR="00DA3C4A" w:rsidRDefault="00DA3C4A" w:rsidP="00DA3C4A"/>
    <w:p w:rsidR="00BC7C10" w:rsidRPr="0005337A" w:rsidRDefault="009E7ED6" w:rsidP="00BC7C10">
      <w:pPr>
        <w:pStyle w:val="Heading1"/>
      </w:pPr>
      <w:bookmarkStart w:id="75" w:name="_Toc478990104"/>
      <w:r w:rsidRPr="0005337A">
        <w:t>References</w:t>
      </w:r>
      <w:bookmarkStart w:id="76" w:name="_Ref62636848"/>
      <w:bookmarkStart w:id="77" w:name="_Ref500902482"/>
      <w:bookmarkStart w:id="78" w:name="_Ref90103412"/>
      <w:bookmarkEnd w:id="75"/>
    </w:p>
    <w:bookmarkEnd w:id="76"/>
    <w:bookmarkEnd w:id="77"/>
    <w:bookmarkEnd w:id="78"/>
    <w:p w:rsidR="00BB1362" w:rsidRDefault="00066E55" w:rsidP="00B37AA1">
      <w:pPr>
        <w:pStyle w:val="BodyText"/>
        <w:numPr>
          <w:ilvl w:val="0"/>
          <w:numId w:val="20"/>
        </w:numPr>
      </w:pPr>
      <w:r>
        <w:fldChar w:fldCharType="begin"/>
      </w:r>
      <w:r w:rsidR="00BB1362">
        <w:instrText xml:space="preserve"> HYPERLINK "</w:instrText>
      </w:r>
      <w:r w:rsidR="00BB1362" w:rsidRPr="00BB1362">
        <w:instrText>http://myrrha.sckce</w:instrText>
      </w:r>
      <w:r w:rsidR="00BB1362">
        <w:instrText xml:space="preserve">n" </w:instrText>
      </w:r>
      <w:r>
        <w:fldChar w:fldCharType="separate"/>
      </w:r>
      <w:bookmarkStart w:id="79" w:name="_Ref478982000"/>
      <w:r w:rsidR="00BB1362" w:rsidRPr="00087CC1">
        <w:rPr>
          <w:rStyle w:val="Hyperlink"/>
        </w:rPr>
        <w:t>http://myrrha.sckcen</w:t>
      </w:r>
      <w:bookmarkEnd w:id="79"/>
      <w:r>
        <w:fldChar w:fldCharType="end"/>
      </w:r>
    </w:p>
    <w:p w:rsidR="006577FB" w:rsidRDefault="006577FB" w:rsidP="006577FB">
      <w:pPr>
        <w:pStyle w:val="BodyText"/>
        <w:numPr>
          <w:ilvl w:val="0"/>
          <w:numId w:val="20"/>
        </w:numPr>
      </w:pPr>
      <w:bookmarkStart w:id="80" w:name="_Ref478981823"/>
      <w:proofErr w:type="spellStart"/>
      <w:r w:rsidRPr="006577FB">
        <w:t>Aragonese</w:t>
      </w:r>
      <w:proofErr w:type="spellEnd"/>
      <w:r w:rsidRPr="006577FB">
        <w:t xml:space="preserve">, C. and </w:t>
      </w:r>
      <w:proofErr w:type="spellStart"/>
      <w:r w:rsidRPr="006577FB">
        <w:t>Buono</w:t>
      </w:r>
      <w:proofErr w:type="spellEnd"/>
      <w:r w:rsidRPr="006577FB">
        <w:t xml:space="preserve">, S. and </w:t>
      </w:r>
      <w:proofErr w:type="spellStart"/>
      <w:r w:rsidRPr="006577FB">
        <w:t>Fotia</w:t>
      </w:r>
      <w:proofErr w:type="spellEnd"/>
      <w:r w:rsidRPr="006577FB">
        <w:t xml:space="preserve">, G. and </w:t>
      </w:r>
      <w:proofErr w:type="spellStart"/>
      <w:r w:rsidRPr="006577FB">
        <w:t>Maciocco</w:t>
      </w:r>
      <w:proofErr w:type="spellEnd"/>
      <w:r w:rsidRPr="006577FB">
        <w:t xml:space="preserve">, L. and Moreau, V. and </w:t>
      </w:r>
      <w:proofErr w:type="spellStart"/>
      <w:r w:rsidRPr="006577FB">
        <w:t>Sorrentino</w:t>
      </w:r>
      <w:proofErr w:type="spellEnd"/>
      <w:r w:rsidRPr="006577FB">
        <w:t>, L.</w:t>
      </w:r>
      <w:r>
        <w:t xml:space="preserve">, </w:t>
      </w:r>
      <w:r w:rsidRPr="006577FB">
        <w:t>A beam window target design with independent cooling for the EADF</w:t>
      </w:r>
      <w:r>
        <w:t xml:space="preserve">, </w:t>
      </w:r>
      <w:r w:rsidR="00A35CA2">
        <w:t xml:space="preserve">CRS4 </w:t>
      </w:r>
      <w:r>
        <w:t xml:space="preserve">Technical report, 2000, </w:t>
      </w:r>
      <w:hyperlink r:id="rId102" w:history="1">
        <w:r w:rsidRPr="00093274">
          <w:rPr>
            <w:rStyle w:val="Hyperlink"/>
          </w:rPr>
          <w:t>http://publications.crs4.it/pubdocs/2000/ABFMMS00e</w:t>
        </w:r>
      </w:hyperlink>
      <w:bookmarkEnd w:id="80"/>
    </w:p>
    <w:p w:rsidR="006577FB" w:rsidRDefault="006577FB" w:rsidP="00A35CA2">
      <w:pPr>
        <w:pStyle w:val="BodyText"/>
        <w:numPr>
          <w:ilvl w:val="0"/>
          <w:numId w:val="20"/>
        </w:numPr>
      </w:pPr>
      <w:bookmarkStart w:id="81" w:name="_Ref478982259"/>
      <w:proofErr w:type="spellStart"/>
      <w:r w:rsidRPr="006577FB">
        <w:t>Aragonese</w:t>
      </w:r>
      <w:proofErr w:type="spellEnd"/>
      <w:r w:rsidRPr="006577FB">
        <w:t xml:space="preserve">, C. and </w:t>
      </w:r>
      <w:proofErr w:type="spellStart"/>
      <w:r w:rsidRPr="006577FB">
        <w:t>Buono</w:t>
      </w:r>
      <w:proofErr w:type="spellEnd"/>
      <w:r w:rsidRPr="006577FB">
        <w:t xml:space="preserve">, S. and </w:t>
      </w:r>
      <w:proofErr w:type="spellStart"/>
      <w:r w:rsidRPr="006577FB">
        <w:t>Fotia</w:t>
      </w:r>
      <w:proofErr w:type="spellEnd"/>
      <w:r w:rsidRPr="006577FB">
        <w:t xml:space="preserve">, G. and </w:t>
      </w:r>
      <w:proofErr w:type="spellStart"/>
      <w:r w:rsidRPr="006577FB">
        <w:t>Maciocco</w:t>
      </w:r>
      <w:proofErr w:type="spellEnd"/>
      <w:r w:rsidRPr="006577FB">
        <w:t xml:space="preserve">, L. </w:t>
      </w:r>
      <w:r w:rsidR="00A35CA2">
        <w:t xml:space="preserve">and Moreau, V. and </w:t>
      </w:r>
      <w:proofErr w:type="spellStart"/>
      <w:r w:rsidR="00A35CA2">
        <w:t>Sorrentino</w:t>
      </w:r>
      <w:proofErr w:type="spellEnd"/>
      <w:r w:rsidR="00A35CA2">
        <w:t xml:space="preserve">, L., </w:t>
      </w:r>
      <w:r w:rsidRPr="006577FB">
        <w:t>A thermal fluid-dynamic transient analysis of the EADF down-comer channel.</w:t>
      </w:r>
      <w:r>
        <w:t xml:space="preserve">, </w:t>
      </w:r>
      <w:r w:rsidR="00A35CA2">
        <w:t xml:space="preserve">CRS4 Technical report, 2000, </w:t>
      </w:r>
      <w:hyperlink r:id="rId103" w:history="1">
        <w:r w:rsidR="00A35CA2" w:rsidRPr="00093274">
          <w:rPr>
            <w:rStyle w:val="Hyperlink"/>
          </w:rPr>
          <w:t>http://publications.crs4.it/pubdocs/2000/ABFMMS00h</w:t>
        </w:r>
      </w:hyperlink>
      <w:bookmarkEnd w:id="81"/>
    </w:p>
    <w:p w:rsidR="00A35CA2" w:rsidRDefault="00A35CA2" w:rsidP="00E254D2">
      <w:pPr>
        <w:pStyle w:val="BodyText"/>
        <w:numPr>
          <w:ilvl w:val="0"/>
          <w:numId w:val="20"/>
        </w:numPr>
      </w:pPr>
      <w:bookmarkStart w:id="82" w:name="_Ref478982792"/>
      <w:r w:rsidRPr="00A35CA2">
        <w:t xml:space="preserve">Moreau, V. and </w:t>
      </w:r>
      <w:proofErr w:type="spellStart"/>
      <w:r w:rsidRPr="00A35CA2">
        <w:t>Mansani</w:t>
      </w:r>
      <w:proofErr w:type="spellEnd"/>
      <w:r w:rsidRPr="00A35CA2">
        <w:t xml:space="preserve">, L. and </w:t>
      </w:r>
      <w:proofErr w:type="spellStart"/>
      <w:r w:rsidRPr="00A35CA2">
        <w:t>Petrazzini</w:t>
      </w:r>
      <w:proofErr w:type="spellEnd"/>
      <w:r w:rsidRPr="00A35CA2">
        <w:t>, M.</w:t>
      </w:r>
      <w:r>
        <w:t xml:space="preserve">, </w:t>
      </w:r>
      <w:r w:rsidRPr="00A35CA2">
        <w:t xml:space="preserve">A case history of </w:t>
      </w:r>
      <w:proofErr w:type="spellStart"/>
      <w:r w:rsidRPr="00A35CA2">
        <w:t>cfd</w:t>
      </w:r>
      <w:proofErr w:type="spellEnd"/>
      <w:r w:rsidRPr="00A35CA2">
        <w:t xml:space="preserve"> support to accelerator driven system plant design</w:t>
      </w:r>
      <w:r>
        <w:t xml:space="preserve">, </w:t>
      </w:r>
      <w:r w:rsidRPr="00A35CA2">
        <w:t>Proceedings</w:t>
      </w:r>
      <w:r>
        <w:t xml:space="preserve"> </w:t>
      </w:r>
      <w:r w:rsidRPr="00A35CA2">
        <w:t xml:space="preserve">of The 17th Int. Conf. On </w:t>
      </w:r>
      <w:proofErr w:type="spellStart"/>
      <w:r w:rsidRPr="00A35CA2">
        <w:t>Nucl</w:t>
      </w:r>
      <w:proofErr w:type="spellEnd"/>
      <w:r w:rsidRPr="00A35CA2">
        <w:t>. Eng</w:t>
      </w:r>
      <w:r>
        <w:t xml:space="preserve">, 2009, </w:t>
      </w:r>
      <w:hyperlink r:id="rId104" w:history="1">
        <w:r w:rsidR="00E254D2" w:rsidRPr="00093274">
          <w:rPr>
            <w:rStyle w:val="Hyperlink"/>
          </w:rPr>
          <w:t>http://publications.crs4.it/pubdocs/2009/MMP09</w:t>
        </w:r>
      </w:hyperlink>
      <w:bookmarkEnd w:id="82"/>
    </w:p>
    <w:p w:rsidR="00E254D2" w:rsidRDefault="00E254D2" w:rsidP="00E254D2">
      <w:pPr>
        <w:pStyle w:val="BodyText"/>
        <w:numPr>
          <w:ilvl w:val="0"/>
          <w:numId w:val="20"/>
        </w:numPr>
      </w:pPr>
      <w:bookmarkStart w:id="83" w:name="_Ref478983182"/>
      <w:r w:rsidRPr="00E254D2">
        <w:lastRenderedPageBreak/>
        <w:t>Moreau, V.</w:t>
      </w:r>
      <w:r>
        <w:t>, FASTEF Heat exchan</w:t>
      </w:r>
      <w:r w:rsidRPr="00E254D2">
        <w:t>ger tube rupture CFD simulation</w:t>
      </w:r>
      <w:r>
        <w:t xml:space="preserve">, </w:t>
      </w:r>
      <w:r w:rsidRPr="00E254D2">
        <w:t>Nuclear Engineering and Design</w:t>
      </w:r>
      <w:r>
        <w:t>, vol. 252, pp. 42-51, 2012</w:t>
      </w:r>
      <w:bookmarkEnd w:id="83"/>
    </w:p>
    <w:p w:rsidR="003974B1" w:rsidRDefault="00BB1362" w:rsidP="00B37AA1">
      <w:pPr>
        <w:pStyle w:val="ListParagraph"/>
        <w:numPr>
          <w:ilvl w:val="0"/>
          <w:numId w:val="20"/>
        </w:numPr>
      </w:pPr>
      <w:bookmarkStart w:id="84" w:name="_Ref355337539"/>
      <w:bookmarkStart w:id="85" w:name="_Ref478715058"/>
      <w:r w:rsidRPr="003974B1">
        <w:t xml:space="preserve">Handbook on Lead-bismuth Eutectic Alloy and Lead Properties, Materials Compatibility, Thermal-hydraulics and Technologies, Nuclear Energy Agency 2007 Edition  </w:t>
      </w:r>
      <w:hyperlink r:id="rId105" w:history="1">
        <w:r w:rsidRPr="003974B1">
          <w:t>http://www.nea.fr/html/science/reports/2007/nea6195-handbook.html</w:t>
        </w:r>
      </w:hyperlink>
      <w:bookmarkStart w:id="86" w:name="_Ref355337429"/>
      <w:bookmarkEnd w:id="84"/>
      <w:bookmarkEnd w:id="85"/>
    </w:p>
    <w:p w:rsidR="003974B1" w:rsidRDefault="00BB1362" w:rsidP="00B37AA1">
      <w:pPr>
        <w:pStyle w:val="ListParagraph"/>
        <w:numPr>
          <w:ilvl w:val="0"/>
          <w:numId w:val="20"/>
        </w:numPr>
      </w:pPr>
      <w:bookmarkStart w:id="87" w:name="_Ref478989790"/>
      <w:r w:rsidRPr="003974B1">
        <w:t xml:space="preserve">R. </w:t>
      </w:r>
      <w:proofErr w:type="spellStart"/>
      <w:r w:rsidRPr="003974B1">
        <w:t>Rehme</w:t>
      </w:r>
      <w:proofErr w:type="spellEnd"/>
      <w:proofErr w:type="gramStart"/>
      <w:r w:rsidRPr="003974B1">
        <w:t>,  “</w:t>
      </w:r>
      <w:proofErr w:type="gramEnd"/>
      <w:r w:rsidRPr="003974B1">
        <w:t>Pressure drop and velocity distribution in rod bundles with spacer grids” Nuclear Engineering and Design, Volume 62, Issues 1-3, page 349-359 - December 1980.</w:t>
      </w:r>
      <w:bookmarkStart w:id="88" w:name="_Ref356464395"/>
      <w:bookmarkEnd w:id="86"/>
      <w:bookmarkEnd w:id="87"/>
    </w:p>
    <w:p w:rsidR="003974B1" w:rsidRDefault="00BB1362" w:rsidP="00B37AA1">
      <w:pPr>
        <w:pStyle w:val="ListParagraph"/>
        <w:numPr>
          <w:ilvl w:val="0"/>
          <w:numId w:val="20"/>
        </w:numPr>
      </w:pPr>
      <w:bookmarkStart w:id="89" w:name="_Ref478718152"/>
      <w:r w:rsidRPr="003974B1">
        <w:t xml:space="preserve">R. </w:t>
      </w:r>
      <w:proofErr w:type="spellStart"/>
      <w:r w:rsidRPr="003974B1">
        <w:t>Rehme</w:t>
      </w:r>
      <w:proofErr w:type="spellEnd"/>
      <w:proofErr w:type="gramStart"/>
      <w:r w:rsidRPr="003974B1">
        <w:t>,  “</w:t>
      </w:r>
      <w:proofErr w:type="gramEnd"/>
      <w:r w:rsidRPr="003974B1">
        <w:t>Pressure drop correlations for fuel elements spacers”, Nuclear Technology, Volume 17, page 15-23, 1973.</w:t>
      </w:r>
      <w:bookmarkStart w:id="90" w:name="_Ref357441455"/>
      <w:bookmarkEnd w:id="88"/>
      <w:bookmarkEnd w:id="89"/>
    </w:p>
    <w:p w:rsidR="003974B1" w:rsidRDefault="00BB1362" w:rsidP="00B37AA1">
      <w:pPr>
        <w:pStyle w:val="ListParagraph"/>
        <w:numPr>
          <w:ilvl w:val="0"/>
          <w:numId w:val="20"/>
        </w:numPr>
      </w:pPr>
      <w:bookmarkStart w:id="91" w:name="_Ref478718256"/>
      <w:r w:rsidRPr="003974B1">
        <w:t xml:space="preserve">N. E. </w:t>
      </w:r>
      <w:proofErr w:type="spellStart"/>
      <w:r w:rsidRPr="003974B1">
        <w:t>Todreas</w:t>
      </w:r>
      <w:proofErr w:type="spellEnd"/>
      <w:r w:rsidRPr="003974B1">
        <w:t xml:space="preserve"> and M. </w:t>
      </w:r>
      <w:proofErr w:type="spellStart"/>
      <w:r w:rsidRPr="003974B1">
        <w:t>Kazimi</w:t>
      </w:r>
      <w:proofErr w:type="spellEnd"/>
      <w:r w:rsidRPr="003974B1">
        <w:t>: Nuclear Systems I-II., 1990.</w:t>
      </w:r>
      <w:bookmarkStart w:id="92" w:name="_Ref413675095"/>
      <w:bookmarkStart w:id="93" w:name="_Ref357441492"/>
      <w:bookmarkEnd w:id="90"/>
      <w:bookmarkEnd w:id="91"/>
      <w:bookmarkEnd w:id="92"/>
      <w:r w:rsidRPr="003974B1">
        <w:t xml:space="preserve"> </w:t>
      </w:r>
    </w:p>
    <w:p w:rsidR="003974B1" w:rsidRDefault="00BB1362" w:rsidP="00B37AA1">
      <w:pPr>
        <w:pStyle w:val="ListParagraph"/>
        <w:numPr>
          <w:ilvl w:val="0"/>
          <w:numId w:val="20"/>
        </w:numPr>
      </w:pPr>
      <w:bookmarkStart w:id="94" w:name="_Ref478718309"/>
      <w:r w:rsidRPr="003974B1">
        <w:t xml:space="preserve">P. A. </w:t>
      </w:r>
      <w:proofErr w:type="spellStart"/>
      <w:r w:rsidRPr="003974B1">
        <w:t>Ushakov</w:t>
      </w:r>
      <w:proofErr w:type="spellEnd"/>
      <w:r w:rsidRPr="003974B1">
        <w:t xml:space="preserve">, “Problems of Heat Transfer in Cores of Fast Breeder Reactor, Heat Transfer and Hydrodynamics of Single-phase Flow in Rod Bundles”, </w:t>
      </w:r>
      <w:proofErr w:type="spellStart"/>
      <w:r w:rsidRPr="003974B1">
        <w:t>Izd</w:t>
      </w:r>
      <w:proofErr w:type="spellEnd"/>
      <w:r w:rsidRPr="003974B1">
        <w:t xml:space="preserve">. </w:t>
      </w:r>
      <w:proofErr w:type="spellStart"/>
      <w:r w:rsidRPr="003974B1">
        <w:t>Nauka</w:t>
      </w:r>
      <w:proofErr w:type="spellEnd"/>
      <w:r w:rsidRPr="003974B1">
        <w:t>, Leningrad (Russia), 1979.</w:t>
      </w:r>
      <w:bookmarkStart w:id="95" w:name="_Ref413682271"/>
      <w:bookmarkEnd w:id="93"/>
      <w:bookmarkEnd w:id="94"/>
      <w:bookmarkEnd w:id="95"/>
    </w:p>
    <w:p w:rsidR="00BB1362" w:rsidRDefault="00066E55" w:rsidP="00237E19">
      <w:pPr>
        <w:pStyle w:val="ListParagraph"/>
        <w:numPr>
          <w:ilvl w:val="0"/>
          <w:numId w:val="20"/>
        </w:numPr>
      </w:pPr>
      <w:hyperlink r:id="rId106" w:history="1">
        <w:bookmarkStart w:id="96" w:name="_Ref355337519"/>
        <w:r w:rsidR="00BB1362" w:rsidRPr="003974B1">
          <w:t>http://www.openfoam.org/docs/user/snappyHexMesh.php</w:t>
        </w:r>
        <w:bookmarkEnd w:id="96"/>
      </w:hyperlink>
      <w:r w:rsidR="00237E19">
        <w:t xml:space="preserve"> </w:t>
      </w:r>
    </w:p>
    <w:p w:rsidR="00106476" w:rsidRDefault="00106476" w:rsidP="00106476">
      <w:pPr>
        <w:pStyle w:val="ListParagraph"/>
        <w:numPr>
          <w:ilvl w:val="0"/>
          <w:numId w:val="20"/>
        </w:numPr>
      </w:pPr>
      <w:bookmarkStart w:id="97" w:name="_Ref478984319"/>
      <w:r w:rsidRPr="00106476">
        <w:t>Moreau, V.</w:t>
      </w:r>
      <w:r>
        <w:t xml:space="preserve">, </w:t>
      </w:r>
      <w:r w:rsidRPr="00106476">
        <w:t>Towards a full 3Dsimulation of MYRRHA primary coolant loop</w:t>
      </w:r>
      <w:r>
        <w:t xml:space="preserve">, pp. 1-30, chapter in the book: </w:t>
      </w:r>
      <w:r w:rsidRPr="00106476">
        <w:t>Fluid mechanics and chemistry</w:t>
      </w:r>
      <w:r>
        <w:t xml:space="preserve"> </w:t>
      </w:r>
      <w:r w:rsidRPr="00106476">
        <w:t>for safety issues in HLM nuclear reactors</w:t>
      </w:r>
      <w:r>
        <w:t xml:space="preserve">, VKI, 2014, </w:t>
      </w:r>
      <w:r w:rsidRPr="00106476">
        <w:t>http://publications.crs4.it/pubdocs/2014/Mor14</w:t>
      </w:r>
      <w:bookmarkEnd w:id="97"/>
    </w:p>
    <w:p w:rsidR="00BB1362" w:rsidRPr="003974B1" w:rsidRDefault="00EF71E1" w:rsidP="006013F6">
      <w:pPr>
        <w:pStyle w:val="ListParagraph"/>
        <w:numPr>
          <w:ilvl w:val="0"/>
          <w:numId w:val="20"/>
        </w:numPr>
      </w:pPr>
      <w:bookmarkStart w:id="98" w:name="_Ref478983951"/>
      <w:r w:rsidRPr="00EF71E1">
        <w:t xml:space="preserve">Moreau, V. and Buckingham, S. and </w:t>
      </w:r>
      <w:proofErr w:type="spellStart"/>
      <w:r w:rsidRPr="00EF71E1">
        <w:t>Planquart</w:t>
      </w:r>
      <w:proofErr w:type="spellEnd"/>
      <w:r w:rsidRPr="00EF71E1">
        <w:t xml:space="preserve">, P. and </w:t>
      </w:r>
      <w:proofErr w:type="spellStart"/>
      <w:r w:rsidRPr="00EF71E1">
        <w:t>Koloszar</w:t>
      </w:r>
      <w:proofErr w:type="spellEnd"/>
      <w:r w:rsidRPr="00EF71E1">
        <w:t>, L.</w:t>
      </w:r>
      <w:r>
        <w:t xml:space="preserve">, </w:t>
      </w:r>
      <w:r w:rsidRPr="00EF71E1">
        <w:t xml:space="preserve">Challenges in the CFD </w:t>
      </w:r>
      <w:proofErr w:type="spellStart"/>
      <w:r w:rsidRPr="00EF71E1">
        <w:t>modeling</w:t>
      </w:r>
      <w:proofErr w:type="spellEnd"/>
      <w:r w:rsidRPr="00EF71E1">
        <w:t xml:space="preserve"> of MYRRHA Primary System</w:t>
      </w:r>
      <w:r>
        <w:t xml:space="preserve">, </w:t>
      </w:r>
      <w:r w:rsidRPr="00EF71E1">
        <w:t>Proceedings of the SEARCH/MAXSIMA 2014 International Workshop}</w:t>
      </w:r>
      <w:r>
        <w:t xml:space="preserve">, 2014, </w:t>
      </w:r>
      <w:r w:rsidRPr="00EF71E1">
        <w:t>http://publications.crs4.it/pubdocs/2014/MBPK14</w:t>
      </w:r>
      <w:bookmarkEnd w:id="98"/>
    </w:p>
    <w:p w:rsidR="00BB1362" w:rsidRPr="003974B1" w:rsidRDefault="00BB1362" w:rsidP="00B37AA1">
      <w:pPr>
        <w:pStyle w:val="ListParagraph"/>
        <w:numPr>
          <w:ilvl w:val="0"/>
          <w:numId w:val="20"/>
        </w:numPr>
      </w:pPr>
      <w:bookmarkStart w:id="99" w:name="_Ref478718094"/>
      <w:r w:rsidRPr="003974B1">
        <w:t xml:space="preserve">I.E. </w:t>
      </w:r>
      <w:proofErr w:type="spellStart"/>
      <w:r w:rsidRPr="003974B1">
        <w:t>Idelchik</w:t>
      </w:r>
      <w:proofErr w:type="spellEnd"/>
      <w:r w:rsidRPr="003974B1">
        <w:t>: Handbook of Hydraulic Resistance, 2005</w:t>
      </w:r>
      <w:bookmarkEnd w:id="99"/>
    </w:p>
    <w:sectPr w:rsidR="00BB1362" w:rsidRPr="003974B1" w:rsidSect="004E0C62">
      <w:type w:val="continuous"/>
      <w:pgSz w:w="11906" w:h="16838" w:code="9"/>
      <w:pgMar w:top="1701" w:right="1418" w:bottom="1814"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5396" w:rsidRDefault="00E45396">
      <w:r>
        <w:separator/>
      </w:r>
    </w:p>
  </w:endnote>
  <w:endnote w:type="continuationSeparator" w:id="0">
    <w:p w:rsidR="00E45396" w:rsidRDefault="00E4539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charset w:val="00"/>
    <w:family w:val="roman"/>
    <w:pitch w:val="variable"/>
    <w:sig w:usb0="A00002AF" w:usb1="500078FB" w:usb2="00000000" w:usb3="00000000" w:csb0="0000009F" w:csb1="00000000"/>
  </w:font>
  <w:font w:name="WenQuanYi Zen Hei">
    <w:panose1 w:val="00000000000000000000"/>
    <w:charset w:val="00"/>
    <w:family w:val="roman"/>
    <w:notTrueType/>
    <w:pitch w:val="default"/>
    <w:sig w:usb0="00000000" w:usb1="00000000" w:usb2="00000000" w:usb3="00000000" w:csb0="00000000" w:csb1="00000000"/>
  </w:font>
  <w:font w:name="Lohit Devanagari">
    <w:altName w:val="Times New Roman"/>
    <w:charset w:val="00"/>
    <w:family w:val="swiss"/>
    <w:pitch w:val="variable"/>
    <w:sig w:usb0="80008023" w:usb1="00002042" w:usb2="00000000" w:usb3="00000000" w:csb0="00000001" w:csb1="00000000"/>
  </w:font>
  <w:font w:name="Calibri">
    <w:panose1 w:val="020F0502020204030204"/>
    <w:charset w:val="00"/>
    <w:family w:val="swiss"/>
    <w:pitch w:val="variable"/>
    <w:sig w:usb0="E00002FF" w:usb1="4000ACFF" w:usb2="00000001" w:usb3="00000000" w:csb0="0000019F" w:csb1="00000000"/>
  </w:font>
  <w:font w:name="CG Omega">
    <w:altName w:val="Segoe UI"/>
    <w:charset w:val="00"/>
    <w:family w:val="swiss"/>
    <w:pitch w:val="variable"/>
    <w:sig w:usb0="00000001"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B94" w:rsidRDefault="00066E55">
    <w:pPr>
      <w:pStyle w:val="Footer"/>
      <w:framePr w:wrap="around" w:vAnchor="text" w:hAnchor="margin" w:xAlign="center" w:y="1"/>
      <w:rPr>
        <w:rStyle w:val="PageNumber"/>
      </w:rPr>
    </w:pPr>
    <w:r>
      <w:rPr>
        <w:rStyle w:val="PageNumber"/>
      </w:rPr>
      <w:fldChar w:fldCharType="begin"/>
    </w:r>
    <w:r w:rsidR="00390B94">
      <w:rPr>
        <w:rStyle w:val="PageNumber"/>
      </w:rPr>
      <w:instrText xml:space="preserve">PAGE  </w:instrText>
    </w:r>
    <w:r>
      <w:rPr>
        <w:rStyle w:val="PageNumber"/>
      </w:rPr>
      <w:fldChar w:fldCharType="separate"/>
    </w:r>
    <w:r w:rsidR="00390B94">
      <w:rPr>
        <w:rStyle w:val="PageNumber"/>
        <w:noProof/>
      </w:rPr>
      <w:t>42</w:t>
    </w:r>
    <w:r>
      <w:rPr>
        <w:rStyle w:val="PageNumber"/>
      </w:rPr>
      <w:fldChar w:fldCharType="end"/>
    </w:r>
  </w:p>
  <w:p w:rsidR="00390B94" w:rsidRDefault="00390B9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B94" w:rsidRDefault="00066E55">
    <w:pPr>
      <w:pStyle w:val="Footer"/>
      <w:framePr w:wrap="around" w:vAnchor="text" w:hAnchor="margin" w:xAlign="center" w:y="1"/>
      <w:rPr>
        <w:rStyle w:val="PageNumber"/>
      </w:rPr>
    </w:pPr>
    <w:r>
      <w:rPr>
        <w:rStyle w:val="PageNumber"/>
      </w:rPr>
      <w:fldChar w:fldCharType="begin"/>
    </w:r>
    <w:r w:rsidR="00390B94">
      <w:rPr>
        <w:rStyle w:val="PageNumber"/>
      </w:rPr>
      <w:instrText xml:space="preserve">PAGE  </w:instrText>
    </w:r>
    <w:r>
      <w:rPr>
        <w:rStyle w:val="PageNumber"/>
      </w:rPr>
      <w:fldChar w:fldCharType="separate"/>
    </w:r>
    <w:r w:rsidR="003B7F32">
      <w:rPr>
        <w:rStyle w:val="PageNumber"/>
        <w:noProof/>
      </w:rPr>
      <w:t>42</w:t>
    </w:r>
    <w:r>
      <w:rPr>
        <w:rStyle w:val="PageNumber"/>
      </w:rPr>
      <w:fldChar w:fldCharType="end"/>
    </w:r>
  </w:p>
  <w:p w:rsidR="00390B94" w:rsidRDefault="00390B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5396" w:rsidRDefault="00E45396">
      <w:r>
        <w:separator/>
      </w:r>
    </w:p>
  </w:footnote>
  <w:footnote w:type="continuationSeparator" w:id="0">
    <w:p w:rsidR="00E45396" w:rsidRDefault="00E453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53065"/>
    <w:multiLevelType w:val="hybridMultilevel"/>
    <w:tmpl w:val="8B1C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C4176C"/>
    <w:multiLevelType w:val="hybridMultilevel"/>
    <w:tmpl w:val="739C9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971589"/>
    <w:multiLevelType w:val="hybridMultilevel"/>
    <w:tmpl w:val="97FE7A48"/>
    <w:lvl w:ilvl="0" w:tplc="0714013E">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403FA4"/>
    <w:multiLevelType w:val="hybridMultilevel"/>
    <w:tmpl w:val="94D67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1E7904"/>
    <w:multiLevelType w:val="singleLevel"/>
    <w:tmpl w:val="CAE686A2"/>
    <w:name w:val="eq12"/>
    <w:lvl w:ilvl="0">
      <w:start w:val="1"/>
      <w:numFmt w:val="decimal"/>
      <w:lvlText w:val="%1."/>
      <w:lvlJc w:val="left"/>
      <w:pPr>
        <w:tabs>
          <w:tab w:val="num" w:pos="432"/>
        </w:tabs>
        <w:ind w:left="432" w:hanging="360"/>
      </w:pPr>
    </w:lvl>
  </w:abstractNum>
  <w:abstractNum w:abstractNumId="5">
    <w:nsid w:val="230B1DC1"/>
    <w:multiLevelType w:val="hybridMultilevel"/>
    <w:tmpl w:val="3716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3B17966"/>
    <w:multiLevelType w:val="hybridMultilevel"/>
    <w:tmpl w:val="3D1E1CBA"/>
    <w:lvl w:ilvl="0" w:tplc="D1F64702">
      <w:start w:val="1"/>
      <w:numFmt w:val="bullet"/>
      <w:lvlText w:val=""/>
      <w:lvlJc w:val="left"/>
      <w:pPr>
        <w:ind w:left="720" w:hanging="360"/>
      </w:pPr>
      <w:rPr>
        <w:rFonts w:ascii="Symbol" w:hAnsi="Symbol" w:hint="default"/>
      </w:rPr>
    </w:lvl>
    <w:lvl w:ilvl="1" w:tplc="743A43BC" w:tentative="1">
      <w:start w:val="1"/>
      <w:numFmt w:val="bullet"/>
      <w:lvlText w:val="o"/>
      <w:lvlJc w:val="left"/>
      <w:pPr>
        <w:ind w:left="1440" w:hanging="360"/>
      </w:pPr>
      <w:rPr>
        <w:rFonts w:ascii="Courier New" w:hAnsi="Courier New" w:hint="default"/>
      </w:rPr>
    </w:lvl>
    <w:lvl w:ilvl="2" w:tplc="EEFA6BEA" w:tentative="1">
      <w:start w:val="1"/>
      <w:numFmt w:val="bullet"/>
      <w:lvlText w:val=""/>
      <w:lvlJc w:val="left"/>
      <w:pPr>
        <w:ind w:left="2160" w:hanging="360"/>
      </w:pPr>
      <w:rPr>
        <w:rFonts w:ascii="Wingdings" w:hAnsi="Wingdings" w:hint="default"/>
      </w:rPr>
    </w:lvl>
    <w:lvl w:ilvl="3" w:tplc="4A2A7C82" w:tentative="1">
      <w:start w:val="1"/>
      <w:numFmt w:val="bullet"/>
      <w:lvlText w:val=""/>
      <w:lvlJc w:val="left"/>
      <w:pPr>
        <w:ind w:left="2880" w:hanging="360"/>
      </w:pPr>
      <w:rPr>
        <w:rFonts w:ascii="Symbol" w:hAnsi="Symbol" w:hint="default"/>
      </w:rPr>
    </w:lvl>
    <w:lvl w:ilvl="4" w:tplc="E9B8CEA0" w:tentative="1">
      <w:start w:val="1"/>
      <w:numFmt w:val="bullet"/>
      <w:lvlText w:val="o"/>
      <w:lvlJc w:val="left"/>
      <w:pPr>
        <w:ind w:left="3600" w:hanging="360"/>
      </w:pPr>
      <w:rPr>
        <w:rFonts w:ascii="Courier New" w:hAnsi="Courier New" w:hint="default"/>
      </w:rPr>
    </w:lvl>
    <w:lvl w:ilvl="5" w:tplc="59464FB0" w:tentative="1">
      <w:start w:val="1"/>
      <w:numFmt w:val="bullet"/>
      <w:lvlText w:val=""/>
      <w:lvlJc w:val="left"/>
      <w:pPr>
        <w:ind w:left="4320" w:hanging="360"/>
      </w:pPr>
      <w:rPr>
        <w:rFonts w:ascii="Wingdings" w:hAnsi="Wingdings" w:hint="default"/>
      </w:rPr>
    </w:lvl>
    <w:lvl w:ilvl="6" w:tplc="A3B4CCBE" w:tentative="1">
      <w:start w:val="1"/>
      <w:numFmt w:val="bullet"/>
      <w:lvlText w:val=""/>
      <w:lvlJc w:val="left"/>
      <w:pPr>
        <w:ind w:left="5040" w:hanging="360"/>
      </w:pPr>
      <w:rPr>
        <w:rFonts w:ascii="Symbol" w:hAnsi="Symbol" w:hint="default"/>
      </w:rPr>
    </w:lvl>
    <w:lvl w:ilvl="7" w:tplc="3588ED06" w:tentative="1">
      <w:start w:val="1"/>
      <w:numFmt w:val="bullet"/>
      <w:lvlText w:val="o"/>
      <w:lvlJc w:val="left"/>
      <w:pPr>
        <w:ind w:left="5760" w:hanging="360"/>
      </w:pPr>
      <w:rPr>
        <w:rFonts w:ascii="Courier New" w:hAnsi="Courier New" w:hint="default"/>
      </w:rPr>
    </w:lvl>
    <w:lvl w:ilvl="8" w:tplc="894A55D2" w:tentative="1">
      <w:start w:val="1"/>
      <w:numFmt w:val="bullet"/>
      <w:lvlText w:val=""/>
      <w:lvlJc w:val="left"/>
      <w:pPr>
        <w:ind w:left="6480" w:hanging="360"/>
      </w:pPr>
      <w:rPr>
        <w:rFonts w:ascii="Wingdings" w:hAnsi="Wingdings" w:hint="default"/>
      </w:rPr>
    </w:lvl>
  </w:abstractNum>
  <w:abstractNum w:abstractNumId="7">
    <w:nsid w:val="26320629"/>
    <w:multiLevelType w:val="hybridMultilevel"/>
    <w:tmpl w:val="012EACAC"/>
    <w:lvl w:ilvl="0" w:tplc="3724B66E">
      <w:start w:val="1"/>
      <w:numFmt w:val="bullet"/>
      <w:lvlText w:val=""/>
      <w:lvlJc w:val="left"/>
      <w:pPr>
        <w:ind w:left="720" w:hanging="360"/>
      </w:pPr>
      <w:rPr>
        <w:rFonts w:ascii="Symbol" w:hAnsi="Symbol" w:hint="default"/>
      </w:rPr>
    </w:lvl>
    <w:lvl w:ilvl="1" w:tplc="0A2A4B6A" w:tentative="1">
      <w:start w:val="1"/>
      <w:numFmt w:val="bullet"/>
      <w:lvlText w:val="o"/>
      <w:lvlJc w:val="left"/>
      <w:pPr>
        <w:ind w:left="1440" w:hanging="360"/>
      </w:pPr>
      <w:rPr>
        <w:rFonts w:ascii="Courier New" w:hAnsi="Courier New" w:hint="default"/>
      </w:rPr>
    </w:lvl>
    <w:lvl w:ilvl="2" w:tplc="8FF6566A" w:tentative="1">
      <w:start w:val="1"/>
      <w:numFmt w:val="bullet"/>
      <w:lvlText w:val=""/>
      <w:lvlJc w:val="left"/>
      <w:pPr>
        <w:ind w:left="2160" w:hanging="360"/>
      </w:pPr>
      <w:rPr>
        <w:rFonts w:ascii="Wingdings" w:hAnsi="Wingdings" w:hint="default"/>
      </w:rPr>
    </w:lvl>
    <w:lvl w:ilvl="3" w:tplc="B372A23E" w:tentative="1">
      <w:start w:val="1"/>
      <w:numFmt w:val="bullet"/>
      <w:lvlText w:val=""/>
      <w:lvlJc w:val="left"/>
      <w:pPr>
        <w:ind w:left="2880" w:hanging="360"/>
      </w:pPr>
      <w:rPr>
        <w:rFonts w:ascii="Symbol" w:hAnsi="Symbol" w:hint="default"/>
      </w:rPr>
    </w:lvl>
    <w:lvl w:ilvl="4" w:tplc="D2D4B84E" w:tentative="1">
      <w:start w:val="1"/>
      <w:numFmt w:val="bullet"/>
      <w:lvlText w:val="o"/>
      <w:lvlJc w:val="left"/>
      <w:pPr>
        <w:ind w:left="3600" w:hanging="360"/>
      </w:pPr>
      <w:rPr>
        <w:rFonts w:ascii="Courier New" w:hAnsi="Courier New" w:hint="default"/>
      </w:rPr>
    </w:lvl>
    <w:lvl w:ilvl="5" w:tplc="2698E3DA" w:tentative="1">
      <w:start w:val="1"/>
      <w:numFmt w:val="bullet"/>
      <w:lvlText w:val=""/>
      <w:lvlJc w:val="left"/>
      <w:pPr>
        <w:ind w:left="4320" w:hanging="360"/>
      </w:pPr>
      <w:rPr>
        <w:rFonts w:ascii="Wingdings" w:hAnsi="Wingdings" w:hint="default"/>
      </w:rPr>
    </w:lvl>
    <w:lvl w:ilvl="6" w:tplc="BF328E00" w:tentative="1">
      <w:start w:val="1"/>
      <w:numFmt w:val="bullet"/>
      <w:lvlText w:val=""/>
      <w:lvlJc w:val="left"/>
      <w:pPr>
        <w:ind w:left="5040" w:hanging="360"/>
      </w:pPr>
      <w:rPr>
        <w:rFonts w:ascii="Symbol" w:hAnsi="Symbol" w:hint="default"/>
      </w:rPr>
    </w:lvl>
    <w:lvl w:ilvl="7" w:tplc="0DE8FCB2" w:tentative="1">
      <w:start w:val="1"/>
      <w:numFmt w:val="bullet"/>
      <w:lvlText w:val="o"/>
      <w:lvlJc w:val="left"/>
      <w:pPr>
        <w:ind w:left="5760" w:hanging="360"/>
      </w:pPr>
      <w:rPr>
        <w:rFonts w:ascii="Courier New" w:hAnsi="Courier New" w:hint="default"/>
      </w:rPr>
    </w:lvl>
    <w:lvl w:ilvl="8" w:tplc="BDC83EF6" w:tentative="1">
      <w:start w:val="1"/>
      <w:numFmt w:val="bullet"/>
      <w:lvlText w:val=""/>
      <w:lvlJc w:val="left"/>
      <w:pPr>
        <w:ind w:left="6480" w:hanging="360"/>
      </w:pPr>
      <w:rPr>
        <w:rFonts w:ascii="Wingdings" w:hAnsi="Wingdings" w:hint="default"/>
      </w:rPr>
    </w:lvl>
  </w:abstractNum>
  <w:abstractNum w:abstractNumId="8">
    <w:nsid w:val="2E507723"/>
    <w:multiLevelType w:val="hybridMultilevel"/>
    <w:tmpl w:val="A64AF37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329E18F4"/>
    <w:multiLevelType w:val="hybridMultilevel"/>
    <w:tmpl w:val="062C0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37E6CA6"/>
    <w:multiLevelType w:val="hybridMultilevel"/>
    <w:tmpl w:val="F4FA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50214A7"/>
    <w:multiLevelType w:val="hybridMultilevel"/>
    <w:tmpl w:val="1A5A5B02"/>
    <w:lvl w:ilvl="0" w:tplc="04090001">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17086E"/>
    <w:multiLevelType w:val="hybridMultilevel"/>
    <w:tmpl w:val="45ECD644"/>
    <w:lvl w:ilvl="0" w:tplc="080C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A810D97"/>
    <w:multiLevelType w:val="hybridMultilevel"/>
    <w:tmpl w:val="2A72A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D91A6D"/>
    <w:multiLevelType w:val="hybridMultilevel"/>
    <w:tmpl w:val="792060EA"/>
    <w:lvl w:ilvl="0" w:tplc="04090001">
      <w:start w:val="1"/>
      <w:numFmt w:val="decimal"/>
      <w:pStyle w:val="References"/>
      <w:lvlText w:val="%1."/>
      <w:lvlJc w:val="left"/>
      <w:pPr>
        <w:tabs>
          <w:tab w:val="num" w:pos="357"/>
        </w:tabs>
        <w:ind w:left="357" w:hanging="35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nsid w:val="4F582777"/>
    <w:multiLevelType w:val="hybridMultilevel"/>
    <w:tmpl w:val="8F92777A"/>
    <w:lvl w:ilvl="0" w:tplc="E83609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27E7DC9"/>
    <w:multiLevelType w:val="hybridMultilevel"/>
    <w:tmpl w:val="D892D73A"/>
    <w:lvl w:ilvl="0" w:tplc="071401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2C0D5A"/>
    <w:multiLevelType w:val="hybridMultilevel"/>
    <w:tmpl w:val="F5A44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4FA0E95"/>
    <w:multiLevelType w:val="multilevel"/>
    <w:tmpl w:val="273A64E6"/>
    <w:lvl w:ilvl="0">
      <w:start w:val="1"/>
      <w:numFmt w:val="decimal"/>
      <w:pStyle w:val="Heading1"/>
      <w:lvlText w:val="%1"/>
      <w:lvlJc w:val="left"/>
      <w:pPr>
        <w:tabs>
          <w:tab w:val="num" w:pos="612"/>
        </w:tabs>
        <w:ind w:left="61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9">
    <w:nsid w:val="6F3B6B88"/>
    <w:multiLevelType w:val="hybridMultilevel"/>
    <w:tmpl w:val="1924F02E"/>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nsid w:val="7853587F"/>
    <w:multiLevelType w:val="hybridMultilevel"/>
    <w:tmpl w:val="49268340"/>
    <w:lvl w:ilvl="0" w:tplc="080C000F">
      <w:start w:val="1"/>
      <w:numFmt w:val="decimal"/>
      <w:lvlText w:val="%1."/>
      <w:lvlJc w:val="left"/>
      <w:pPr>
        <w:ind w:left="720" w:hanging="360"/>
      </w:pPr>
    </w:lvl>
    <w:lvl w:ilvl="1" w:tplc="A8D46126">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C0813B8"/>
    <w:multiLevelType w:val="hybridMultilevel"/>
    <w:tmpl w:val="4524FF02"/>
    <w:lvl w:ilvl="0" w:tplc="C69AADDE">
      <w:start w:val="1"/>
      <w:numFmt w:val="decimal"/>
      <w:lvlText w:val="%1."/>
      <w:lvlJc w:val="left"/>
      <w:pPr>
        <w:tabs>
          <w:tab w:val="num" w:pos="360"/>
        </w:tabs>
        <w:ind w:left="360" w:hanging="360"/>
      </w:pPr>
      <w:rPr>
        <w:rFonts w:hint="default"/>
      </w:rPr>
    </w:lvl>
    <w:lvl w:ilvl="1" w:tplc="BD1A41C8" w:tentative="1">
      <w:start w:val="1"/>
      <w:numFmt w:val="lowerLetter"/>
      <w:lvlText w:val="%2."/>
      <w:lvlJc w:val="left"/>
      <w:pPr>
        <w:tabs>
          <w:tab w:val="num" w:pos="1440"/>
        </w:tabs>
        <w:ind w:left="1440" w:hanging="360"/>
      </w:pPr>
    </w:lvl>
    <w:lvl w:ilvl="2" w:tplc="1860A23E" w:tentative="1">
      <w:start w:val="1"/>
      <w:numFmt w:val="lowerRoman"/>
      <w:lvlText w:val="%3."/>
      <w:lvlJc w:val="right"/>
      <w:pPr>
        <w:tabs>
          <w:tab w:val="num" w:pos="2160"/>
        </w:tabs>
        <w:ind w:left="2160" w:hanging="180"/>
      </w:pPr>
    </w:lvl>
    <w:lvl w:ilvl="3" w:tplc="A366F354" w:tentative="1">
      <w:start w:val="1"/>
      <w:numFmt w:val="decimal"/>
      <w:lvlText w:val="%4."/>
      <w:lvlJc w:val="left"/>
      <w:pPr>
        <w:tabs>
          <w:tab w:val="num" w:pos="2880"/>
        </w:tabs>
        <w:ind w:left="2880" w:hanging="360"/>
      </w:pPr>
    </w:lvl>
    <w:lvl w:ilvl="4" w:tplc="7A70A796" w:tentative="1">
      <w:start w:val="1"/>
      <w:numFmt w:val="lowerLetter"/>
      <w:lvlText w:val="%5."/>
      <w:lvlJc w:val="left"/>
      <w:pPr>
        <w:tabs>
          <w:tab w:val="num" w:pos="3600"/>
        </w:tabs>
        <w:ind w:left="3600" w:hanging="360"/>
      </w:pPr>
    </w:lvl>
    <w:lvl w:ilvl="5" w:tplc="C218BBD0" w:tentative="1">
      <w:start w:val="1"/>
      <w:numFmt w:val="lowerRoman"/>
      <w:lvlText w:val="%6."/>
      <w:lvlJc w:val="right"/>
      <w:pPr>
        <w:tabs>
          <w:tab w:val="num" w:pos="4320"/>
        </w:tabs>
        <w:ind w:left="4320" w:hanging="180"/>
      </w:pPr>
    </w:lvl>
    <w:lvl w:ilvl="6" w:tplc="CAD29204" w:tentative="1">
      <w:start w:val="1"/>
      <w:numFmt w:val="decimal"/>
      <w:lvlText w:val="%7."/>
      <w:lvlJc w:val="left"/>
      <w:pPr>
        <w:tabs>
          <w:tab w:val="num" w:pos="5040"/>
        </w:tabs>
        <w:ind w:left="5040" w:hanging="360"/>
      </w:pPr>
    </w:lvl>
    <w:lvl w:ilvl="7" w:tplc="45A67194" w:tentative="1">
      <w:start w:val="1"/>
      <w:numFmt w:val="lowerLetter"/>
      <w:lvlText w:val="%8."/>
      <w:lvlJc w:val="left"/>
      <w:pPr>
        <w:tabs>
          <w:tab w:val="num" w:pos="5760"/>
        </w:tabs>
        <w:ind w:left="5760" w:hanging="360"/>
      </w:pPr>
    </w:lvl>
    <w:lvl w:ilvl="8" w:tplc="CCC659C4" w:tentative="1">
      <w:start w:val="1"/>
      <w:numFmt w:val="lowerRoman"/>
      <w:lvlText w:val="%9."/>
      <w:lvlJc w:val="right"/>
      <w:pPr>
        <w:tabs>
          <w:tab w:val="num" w:pos="6480"/>
        </w:tabs>
        <w:ind w:left="6480" w:hanging="180"/>
      </w:pPr>
    </w:lvl>
  </w:abstractNum>
  <w:num w:numId="1">
    <w:abstractNumId w:val="18"/>
  </w:num>
  <w:num w:numId="2">
    <w:abstractNumId w:val="14"/>
  </w:num>
  <w:num w:numId="3">
    <w:abstractNumId w:val="11"/>
  </w:num>
  <w:num w:numId="4">
    <w:abstractNumId w:val="16"/>
  </w:num>
  <w:num w:numId="5">
    <w:abstractNumId w:val="2"/>
  </w:num>
  <w:num w:numId="6">
    <w:abstractNumId w:val="19"/>
  </w:num>
  <w:num w:numId="7">
    <w:abstractNumId w:val="8"/>
  </w:num>
  <w:num w:numId="8">
    <w:abstractNumId w:val="6"/>
  </w:num>
  <w:num w:numId="9">
    <w:abstractNumId w:val="7"/>
  </w:num>
  <w:num w:numId="10">
    <w:abstractNumId w:val="18"/>
  </w:num>
  <w:num w:numId="11">
    <w:abstractNumId w:val="18"/>
  </w:num>
  <w:num w:numId="12">
    <w:abstractNumId w:val="18"/>
  </w:num>
  <w:num w:numId="13">
    <w:abstractNumId w:val="18"/>
  </w:num>
  <w:num w:numId="14">
    <w:abstractNumId w:val="18"/>
  </w:num>
  <w:num w:numId="15">
    <w:abstractNumId w:val="18"/>
  </w:num>
  <w:num w:numId="16">
    <w:abstractNumId w:val="10"/>
  </w:num>
  <w:num w:numId="17">
    <w:abstractNumId w:val="18"/>
  </w:num>
  <w:num w:numId="18">
    <w:abstractNumId w:val="15"/>
  </w:num>
  <w:num w:numId="19">
    <w:abstractNumId w:val="21"/>
  </w:num>
  <w:num w:numId="20">
    <w:abstractNumId w:val="20"/>
  </w:num>
  <w:num w:numId="21">
    <w:abstractNumId w:val="5"/>
  </w:num>
  <w:num w:numId="22">
    <w:abstractNumId w:val="17"/>
  </w:num>
  <w:num w:numId="23">
    <w:abstractNumId w:val="3"/>
  </w:num>
  <w:num w:numId="24">
    <w:abstractNumId w:val="12"/>
  </w:num>
  <w:num w:numId="25">
    <w:abstractNumId w:val="1"/>
  </w:num>
  <w:num w:numId="26">
    <w:abstractNumId w:val="9"/>
  </w:num>
  <w:num w:numId="27">
    <w:abstractNumId w:val="0"/>
  </w:num>
  <w:num w:numId="28">
    <w:abstractNumId w:val="1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rsids>
    <w:rsidRoot w:val="009E7ED6"/>
    <w:rsid w:val="00011EF0"/>
    <w:rsid w:val="000209E0"/>
    <w:rsid w:val="00025824"/>
    <w:rsid w:val="00027AA4"/>
    <w:rsid w:val="00037A15"/>
    <w:rsid w:val="000420C3"/>
    <w:rsid w:val="0004378C"/>
    <w:rsid w:val="000440B4"/>
    <w:rsid w:val="0005337A"/>
    <w:rsid w:val="00064AA1"/>
    <w:rsid w:val="00066E55"/>
    <w:rsid w:val="00070763"/>
    <w:rsid w:val="00077D8A"/>
    <w:rsid w:val="000800E5"/>
    <w:rsid w:val="00085D5D"/>
    <w:rsid w:val="00091061"/>
    <w:rsid w:val="00091BD5"/>
    <w:rsid w:val="0009441C"/>
    <w:rsid w:val="00094F28"/>
    <w:rsid w:val="00096143"/>
    <w:rsid w:val="000A32EB"/>
    <w:rsid w:val="000A6BEB"/>
    <w:rsid w:val="000B09BD"/>
    <w:rsid w:val="000D413F"/>
    <w:rsid w:val="000D5A6A"/>
    <w:rsid w:val="000D6F68"/>
    <w:rsid w:val="000D7E35"/>
    <w:rsid w:val="000E1C69"/>
    <w:rsid w:val="000F4373"/>
    <w:rsid w:val="00101533"/>
    <w:rsid w:val="00106476"/>
    <w:rsid w:val="00107BD3"/>
    <w:rsid w:val="001130D3"/>
    <w:rsid w:val="0011347A"/>
    <w:rsid w:val="001139DE"/>
    <w:rsid w:val="00126C40"/>
    <w:rsid w:val="0013551E"/>
    <w:rsid w:val="00140DE0"/>
    <w:rsid w:val="00144073"/>
    <w:rsid w:val="00147A01"/>
    <w:rsid w:val="00151F41"/>
    <w:rsid w:val="00153FFB"/>
    <w:rsid w:val="00155706"/>
    <w:rsid w:val="00157C3C"/>
    <w:rsid w:val="0017399D"/>
    <w:rsid w:val="001803B3"/>
    <w:rsid w:val="0019720C"/>
    <w:rsid w:val="001A11A5"/>
    <w:rsid w:val="001A761C"/>
    <w:rsid w:val="001B18C2"/>
    <w:rsid w:val="001C0654"/>
    <w:rsid w:val="001C4978"/>
    <w:rsid w:val="001D560A"/>
    <w:rsid w:val="001E0B36"/>
    <w:rsid w:val="001E1E03"/>
    <w:rsid w:val="001E21B1"/>
    <w:rsid w:val="001E2DF2"/>
    <w:rsid w:val="001E33B2"/>
    <w:rsid w:val="001F1B77"/>
    <w:rsid w:val="001F7BF3"/>
    <w:rsid w:val="00200898"/>
    <w:rsid w:val="0020151B"/>
    <w:rsid w:val="0020485D"/>
    <w:rsid w:val="00204D21"/>
    <w:rsid w:val="00214368"/>
    <w:rsid w:val="00224895"/>
    <w:rsid w:val="00235218"/>
    <w:rsid w:val="00236154"/>
    <w:rsid w:val="00237705"/>
    <w:rsid w:val="00237E19"/>
    <w:rsid w:val="002416D4"/>
    <w:rsid w:val="00242E13"/>
    <w:rsid w:val="002554D3"/>
    <w:rsid w:val="00262801"/>
    <w:rsid w:val="0026291A"/>
    <w:rsid w:val="00264FB9"/>
    <w:rsid w:val="0026570F"/>
    <w:rsid w:val="00267E4D"/>
    <w:rsid w:val="00272BB4"/>
    <w:rsid w:val="00276517"/>
    <w:rsid w:val="00281606"/>
    <w:rsid w:val="002831D9"/>
    <w:rsid w:val="002840CC"/>
    <w:rsid w:val="0029456C"/>
    <w:rsid w:val="002A5136"/>
    <w:rsid w:val="002B589B"/>
    <w:rsid w:val="002B7C50"/>
    <w:rsid w:val="002C3A07"/>
    <w:rsid w:val="002C4D46"/>
    <w:rsid w:val="002C5277"/>
    <w:rsid w:val="002C58B6"/>
    <w:rsid w:val="002D085F"/>
    <w:rsid w:val="002E5D62"/>
    <w:rsid w:val="002F4EE2"/>
    <w:rsid w:val="0030188D"/>
    <w:rsid w:val="00313483"/>
    <w:rsid w:val="003169FF"/>
    <w:rsid w:val="00321B5A"/>
    <w:rsid w:val="00334271"/>
    <w:rsid w:val="003363B2"/>
    <w:rsid w:val="00337365"/>
    <w:rsid w:val="003530D9"/>
    <w:rsid w:val="003534FE"/>
    <w:rsid w:val="0035356D"/>
    <w:rsid w:val="00353BD2"/>
    <w:rsid w:val="00355D1B"/>
    <w:rsid w:val="00365046"/>
    <w:rsid w:val="00375171"/>
    <w:rsid w:val="00375336"/>
    <w:rsid w:val="00375FC1"/>
    <w:rsid w:val="00382745"/>
    <w:rsid w:val="00382ABC"/>
    <w:rsid w:val="00390B94"/>
    <w:rsid w:val="00393432"/>
    <w:rsid w:val="003974B1"/>
    <w:rsid w:val="003B0D34"/>
    <w:rsid w:val="003B7F32"/>
    <w:rsid w:val="003C19E5"/>
    <w:rsid w:val="003C5002"/>
    <w:rsid w:val="003C6085"/>
    <w:rsid w:val="003C69DF"/>
    <w:rsid w:val="003D4C4E"/>
    <w:rsid w:val="003D60BB"/>
    <w:rsid w:val="003D682D"/>
    <w:rsid w:val="003E5914"/>
    <w:rsid w:val="003E62D0"/>
    <w:rsid w:val="003E667B"/>
    <w:rsid w:val="003F316E"/>
    <w:rsid w:val="003F336C"/>
    <w:rsid w:val="003F73AD"/>
    <w:rsid w:val="004004D8"/>
    <w:rsid w:val="00406214"/>
    <w:rsid w:val="004128D0"/>
    <w:rsid w:val="004130B0"/>
    <w:rsid w:val="00413B1C"/>
    <w:rsid w:val="00415990"/>
    <w:rsid w:val="00425DD6"/>
    <w:rsid w:val="00426EE3"/>
    <w:rsid w:val="00447DE8"/>
    <w:rsid w:val="00457F98"/>
    <w:rsid w:val="00460807"/>
    <w:rsid w:val="00463815"/>
    <w:rsid w:val="00467AA0"/>
    <w:rsid w:val="00476C99"/>
    <w:rsid w:val="00486F94"/>
    <w:rsid w:val="00487CB1"/>
    <w:rsid w:val="004905F1"/>
    <w:rsid w:val="00493EB0"/>
    <w:rsid w:val="0049465A"/>
    <w:rsid w:val="004A6299"/>
    <w:rsid w:val="004A7317"/>
    <w:rsid w:val="004B3BA3"/>
    <w:rsid w:val="004B5C46"/>
    <w:rsid w:val="004B6663"/>
    <w:rsid w:val="004C24D9"/>
    <w:rsid w:val="004C5008"/>
    <w:rsid w:val="004C64DA"/>
    <w:rsid w:val="004D14BE"/>
    <w:rsid w:val="004D2833"/>
    <w:rsid w:val="004D59E9"/>
    <w:rsid w:val="004E0C62"/>
    <w:rsid w:val="004E16F0"/>
    <w:rsid w:val="004E201B"/>
    <w:rsid w:val="004E2F44"/>
    <w:rsid w:val="004E37AE"/>
    <w:rsid w:val="004F466E"/>
    <w:rsid w:val="004F48B9"/>
    <w:rsid w:val="00505C38"/>
    <w:rsid w:val="00510EF6"/>
    <w:rsid w:val="0051124D"/>
    <w:rsid w:val="00514282"/>
    <w:rsid w:val="0051430D"/>
    <w:rsid w:val="00515E76"/>
    <w:rsid w:val="00516DC9"/>
    <w:rsid w:val="0051781E"/>
    <w:rsid w:val="00522574"/>
    <w:rsid w:val="0052621B"/>
    <w:rsid w:val="00535AFA"/>
    <w:rsid w:val="0053693B"/>
    <w:rsid w:val="00546BFE"/>
    <w:rsid w:val="00555678"/>
    <w:rsid w:val="005600BE"/>
    <w:rsid w:val="00561F38"/>
    <w:rsid w:val="0057042D"/>
    <w:rsid w:val="00575642"/>
    <w:rsid w:val="00580CA1"/>
    <w:rsid w:val="005826CB"/>
    <w:rsid w:val="0058306E"/>
    <w:rsid w:val="005A6C9B"/>
    <w:rsid w:val="005B100E"/>
    <w:rsid w:val="005C3113"/>
    <w:rsid w:val="005C37ED"/>
    <w:rsid w:val="005C3FD4"/>
    <w:rsid w:val="005C7604"/>
    <w:rsid w:val="005D1055"/>
    <w:rsid w:val="005D3FF0"/>
    <w:rsid w:val="005E1621"/>
    <w:rsid w:val="005E2186"/>
    <w:rsid w:val="005E7B81"/>
    <w:rsid w:val="005F5D3B"/>
    <w:rsid w:val="0060075F"/>
    <w:rsid w:val="006013F6"/>
    <w:rsid w:val="00602748"/>
    <w:rsid w:val="006102A2"/>
    <w:rsid w:val="00612494"/>
    <w:rsid w:val="006139FA"/>
    <w:rsid w:val="00613F57"/>
    <w:rsid w:val="00615CCD"/>
    <w:rsid w:val="0061799D"/>
    <w:rsid w:val="00632C8F"/>
    <w:rsid w:val="00632EE3"/>
    <w:rsid w:val="00633D27"/>
    <w:rsid w:val="00641004"/>
    <w:rsid w:val="00642096"/>
    <w:rsid w:val="006460BC"/>
    <w:rsid w:val="0064764C"/>
    <w:rsid w:val="00655E01"/>
    <w:rsid w:val="006577FB"/>
    <w:rsid w:val="006672FF"/>
    <w:rsid w:val="00670561"/>
    <w:rsid w:val="00671F4C"/>
    <w:rsid w:val="00672DAF"/>
    <w:rsid w:val="0067678F"/>
    <w:rsid w:val="006776D8"/>
    <w:rsid w:val="006822FE"/>
    <w:rsid w:val="00686815"/>
    <w:rsid w:val="00686E00"/>
    <w:rsid w:val="00691402"/>
    <w:rsid w:val="00697687"/>
    <w:rsid w:val="006A06E8"/>
    <w:rsid w:val="006B2856"/>
    <w:rsid w:val="006B5688"/>
    <w:rsid w:val="006C4C02"/>
    <w:rsid w:val="006C52D9"/>
    <w:rsid w:val="006C6E98"/>
    <w:rsid w:val="006C733A"/>
    <w:rsid w:val="006D2579"/>
    <w:rsid w:val="006E14B9"/>
    <w:rsid w:val="006E78A7"/>
    <w:rsid w:val="006F07B2"/>
    <w:rsid w:val="006F0D8E"/>
    <w:rsid w:val="006F3752"/>
    <w:rsid w:val="00702B8E"/>
    <w:rsid w:val="00711712"/>
    <w:rsid w:val="007158EC"/>
    <w:rsid w:val="00715925"/>
    <w:rsid w:val="007206C1"/>
    <w:rsid w:val="00722B00"/>
    <w:rsid w:val="00726881"/>
    <w:rsid w:val="00733580"/>
    <w:rsid w:val="00734FA1"/>
    <w:rsid w:val="00735384"/>
    <w:rsid w:val="00744186"/>
    <w:rsid w:val="00746124"/>
    <w:rsid w:val="0075222D"/>
    <w:rsid w:val="00753283"/>
    <w:rsid w:val="00757312"/>
    <w:rsid w:val="0076249D"/>
    <w:rsid w:val="007637A6"/>
    <w:rsid w:val="0077096D"/>
    <w:rsid w:val="0077354E"/>
    <w:rsid w:val="007801A4"/>
    <w:rsid w:val="00780344"/>
    <w:rsid w:val="0078244A"/>
    <w:rsid w:val="0078337B"/>
    <w:rsid w:val="0078727C"/>
    <w:rsid w:val="007879AC"/>
    <w:rsid w:val="0079432D"/>
    <w:rsid w:val="00797BDA"/>
    <w:rsid w:val="007A1FCD"/>
    <w:rsid w:val="007A5CE1"/>
    <w:rsid w:val="007B3043"/>
    <w:rsid w:val="007B5E8A"/>
    <w:rsid w:val="007B64A7"/>
    <w:rsid w:val="007B6FDA"/>
    <w:rsid w:val="007C4E6D"/>
    <w:rsid w:val="007D0318"/>
    <w:rsid w:val="007D0E98"/>
    <w:rsid w:val="007D4E0A"/>
    <w:rsid w:val="007D773D"/>
    <w:rsid w:val="007F0B52"/>
    <w:rsid w:val="007F0C84"/>
    <w:rsid w:val="008027ED"/>
    <w:rsid w:val="00803696"/>
    <w:rsid w:val="00805710"/>
    <w:rsid w:val="00805989"/>
    <w:rsid w:val="00807280"/>
    <w:rsid w:val="00811728"/>
    <w:rsid w:val="0081751B"/>
    <w:rsid w:val="00824417"/>
    <w:rsid w:val="00824C60"/>
    <w:rsid w:val="00826D6B"/>
    <w:rsid w:val="008428AD"/>
    <w:rsid w:val="00845DBE"/>
    <w:rsid w:val="008524E9"/>
    <w:rsid w:val="0085417E"/>
    <w:rsid w:val="0085462F"/>
    <w:rsid w:val="00856C6C"/>
    <w:rsid w:val="008571AD"/>
    <w:rsid w:val="00861D95"/>
    <w:rsid w:val="00863DAD"/>
    <w:rsid w:val="00863FF3"/>
    <w:rsid w:val="00865F5D"/>
    <w:rsid w:val="008668F1"/>
    <w:rsid w:val="0087164D"/>
    <w:rsid w:val="00874419"/>
    <w:rsid w:val="00877053"/>
    <w:rsid w:val="008844C8"/>
    <w:rsid w:val="00891BE4"/>
    <w:rsid w:val="00896AAF"/>
    <w:rsid w:val="008A2CE6"/>
    <w:rsid w:val="008A6F8C"/>
    <w:rsid w:val="008B11F2"/>
    <w:rsid w:val="008B426F"/>
    <w:rsid w:val="008C220C"/>
    <w:rsid w:val="008C2F9E"/>
    <w:rsid w:val="008C3481"/>
    <w:rsid w:val="008C56EE"/>
    <w:rsid w:val="008D07A8"/>
    <w:rsid w:val="008D2ABA"/>
    <w:rsid w:val="008E5EBF"/>
    <w:rsid w:val="008F6540"/>
    <w:rsid w:val="008F6633"/>
    <w:rsid w:val="009013B0"/>
    <w:rsid w:val="00907C43"/>
    <w:rsid w:val="00907F9D"/>
    <w:rsid w:val="009106B8"/>
    <w:rsid w:val="009175FD"/>
    <w:rsid w:val="0091788F"/>
    <w:rsid w:val="00921C2C"/>
    <w:rsid w:val="00923231"/>
    <w:rsid w:val="00925F7B"/>
    <w:rsid w:val="00930885"/>
    <w:rsid w:val="009619BB"/>
    <w:rsid w:val="00964F1F"/>
    <w:rsid w:val="009711E2"/>
    <w:rsid w:val="00975F40"/>
    <w:rsid w:val="00976B85"/>
    <w:rsid w:val="00976F82"/>
    <w:rsid w:val="009777A9"/>
    <w:rsid w:val="00982960"/>
    <w:rsid w:val="00982EE7"/>
    <w:rsid w:val="009853EA"/>
    <w:rsid w:val="009868DF"/>
    <w:rsid w:val="00987B69"/>
    <w:rsid w:val="009941AC"/>
    <w:rsid w:val="009944F0"/>
    <w:rsid w:val="0099452D"/>
    <w:rsid w:val="00995A56"/>
    <w:rsid w:val="00997C40"/>
    <w:rsid w:val="009A50E6"/>
    <w:rsid w:val="009A6EF0"/>
    <w:rsid w:val="009B1F9B"/>
    <w:rsid w:val="009B2456"/>
    <w:rsid w:val="009B44DB"/>
    <w:rsid w:val="009B4605"/>
    <w:rsid w:val="009B6AA4"/>
    <w:rsid w:val="009B747E"/>
    <w:rsid w:val="009C18D6"/>
    <w:rsid w:val="009C1DEC"/>
    <w:rsid w:val="009C2776"/>
    <w:rsid w:val="009C5575"/>
    <w:rsid w:val="009C7D04"/>
    <w:rsid w:val="009D0845"/>
    <w:rsid w:val="009D33DD"/>
    <w:rsid w:val="009D5D78"/>
    <w:rsid w:val="009D745C"/>
    <w:rsid w:val="009E239E"/>
    <w:rsid w:val="009E23C6"/>
    <w:rsid w:val="009E3189"/>
    <w:rsid w:val="009E7ED6"/>
    <w:rsid w:val="009F0AFB"/>
    <w:rsid w:val="009F1928"/>
    <w:rsid w:val="009F610D"/>
    <w:rsid w:val="009F6589"/>
    <w:rsid w:val="009F7243"/>
    <w:rsid w:val="00A05369"/>
    <w:rsid w:val="00A07B98"/>
    <w:rsid w:val="00A10304"/>
    <w:rsid w:val="00A22FB0"/>
    <w:rsid w:val="00A238AF"/>
    <w:rsid w:val="00A33169"/>
    <w:rsid w:val="00A3389A"/>
    <w:rsid w:val="00A35CA2"/>
    <w:rsid w:val="00A370EF"/>
    <w:rsid w:val="00A473F2"/>
    <w:rsid w:val="00A47E3B"/>
    <w:rsid w:val="00A51EC5"/>
    <w:rsid w:val="00A5527E"/>
    <w:rsid w:val="00A5554A"/>
    <w:rsid w:val="00A6074A"/>
    <w:rsid w:val="00A609E3"/>
    <w:rsid w:val="00A613F4"/>
    <w:rsid w:val="00A62676"/>
    <w:rsid w:val="00A64230"/>
    <w:rsid w:val="00A71863"/>
    <w:rsid w:val="00A7435D"/>
    <w:rsid w:val="00A80977"/>
    <w:rsid w:val="00A840BD"/>
    <w:rsid w:val="00A948C0"/>
    <w:rsid w:val="00AB005D"/>
    <w:rsid w:val="00AB0C6A"/>
    <w:rsid w:val="00AB1926"/>
    <w:rsid w:val="00AB1AA7"/>
    <w:rsid w:val="00AC0CA2"/>
    <w:rsid w:val="00AC168B"/>
    <w:rsid w:val="00AC3352"/>
    <w:rsid w:val="00AD139A"/>
    <w:rsid w:val="00AD1E85"/>
    <w:rsid w:val="00AD3DB7"/>
    <w:rsid w:val="00AE4212"/>
    <w:rsid w:val="00AF3E8D"/>
    <w:rsid w:val="00AF6002"/>
    <w:rsid w:val="00AF7562"/>
    <w:rsid w:val="00B03994"/>
    <w:rsid w:val="00B044D5"/>
    <w:rsid w:val="00B2523B"/>
    <w:rsid w:val="00B25E34"/>
    <w:rsid w:val="00B3100C"/>
    <w:rsid w:val="00B3489C"/>
    <w:rsid w:val="00B36D18"/>
    <w:rsid w:val="00B36F60"/>
    <w:rsid w:val="00B37AA1"/>
    <w:rsid w:val="00B4055D"/>
    <w:rsid w:val="00B50EEE"/>
    <w:rsid w:val="00B51530"/>
    <w:rsid w:val="00B52D66"/>
    <w:rsid w:val="00B53F0E"/>
    <w:rsid w:val="00B6355D"/>
    <w:rsid w:val="00B64D12"/>
    <w:rsid w:val="00B64EDC"/>
    <w:rsid w:val="00B674D6"/>
    <w:rsid w:val="00B70C13"/>
    <w:rsid w:val="00B71D3D"/>
    <w:rsid w:val="00B80F40"/>
    <w:rsid w:val="00B86220"/>
    <w:rsid w:val="00B9217F"/>
    <w:rsid w:val="00B93E11"/>
    <w:rsid w:val="00B9665D"/>
    <w:rsid w:val="00BA112D"/>
    <w:rsid w:val="00BA4EEE"/>
    <w:rsid w:val="00BA6DEF"/>
    <w:rsid w:val="00BA72F2"/>
    <w:rsid w:val="00BB0835"/>
    <w:rsid w:val="00BB1362"/>
    <w:rsid w:val="00BB2C2D"/>
    <w:rsid w:val="00BB3968"/>
    <w:rsid w:val="00BB4303"/>
    <w:rsid w:val="00BB5696"/>
    <w:rsid w:val="00BC15B5"/>
    <w:rsid w:val="00BC44DE"/>
    <w:rsid w:val="00BC5643"/>
    <w:rsid w:val="00BC68A2"/>
    <w:rsid w:val="00BC6FB1"/>
    <w:rsid w:val="00BC7C10"/>
    <w:rsid w:val="00BD1D16"/>
    <w:rsid w:val="00BE76AA"/>
    <w:rsid w:val="00BF20DE"/>
    <w:rsid w:val="00BF21F5"/>
    <w:rsid w:val="00BF3677"/>
    <w:rsid w:val="00BF6568"/>
    <w:rsid w:val="00C0103D"/>
    <w:rsid w:val="00C10919"/>
    <w:rsid w:val="00C10BD6"/>
    <w:rsid w:val="00C15720"/>
    <w:rsid w:val="00C267D2"/>
    <w:rsid w:val="00C31461"/>
    <w:rsid w:val="00C33162"/>
    <w:rsid w:val="00C375A0"/>
    <w:rsid w:val="00C42C40"/>
    <w:rsid w:val="00C4382C"/>
    <w:rsid w:val="00C43AB6"/>
    <w:rsid w:val="00C44331"/>
    <w:rsid w:val="00C449F3"/>
    <w:rsid w:val="00C54431"/>
    <w:rsid w:val="00C66C89"/>
    <w:rsid w:val="00C924FB"/>
    <w:rsid w:val="00C928CD"/>
    <w:rsid w:val="00C96394"/>
    <w:rsid w:val="00CA0B82"/>
    <w:rsid w:val="00CA2649"/>
    <w:rsid w:val="00CB1ED1"/>
    <w:rsid w:val="00CB458F"/>
    <w:rsid w:val="00CB4B89"/>
    <w:rsid w:val="00CB67D0"/>
    <w:rsid w:val="00CC4598"/>
    <w:rsid w:val="00CC4CF1"/>
    <w:rsid w:val="00CD163A"/>
    <w:rsid w:val="00CD3793"/>
    <w:rsid w:val="00CD716E"/>
    <w:rsid w:val="00CD71C0"/>
    <w:rsid w:val="00CD7FE3"/>
    <w:rsid w:val="00CE06ED"/>
    <w:rsid w:val="00CE45AB"/>
    <w:rsid w:val="00CE5B50"/>
    <w:rsid w:val="00CF21F6"/>
    <w:rsid w:val="00CF2578"/>
    <w:rsid w:val="00D02232"/>
    <w:rsid w:val="00D02D66"/>
    <w:rsid w:val="00D0433F"/>
    <w:rsid w:val="00D05B9E"/>
    <w:rsid w:val="00D1088B"/>
    <w:rsid w:val="00D12E58"/>
    <w:rsid w:val="00D138ED"/>
    <w:rsid w:val="00D13BFC"/>
    <w:rsid w:val="00D14188"/>
    <w:rsid w:val="00D16FB0"/>
    <w:rsid w:val="00D17782"/>
    <w:rsid w:val="00D2372C"/>
    <w:rsid w:val="00D25F5C"/>
    <w:rsid w:val="00D26833"/>
    <w:rsid w:val="00D30898"/>
    <w:rsid w:val="00D31B81"/>
    <w:rsid w:val="00D32DC0"/>
    <w:rsid w:val="00D415F7"/>
    <w:rsid w:val="00D4203D"/>
    <w:rsid w:val="00D52B13"/>
    <w:rsid w:val="00D543C6"/>
    <w:rsid w:val="00D57146"/>
    <w:rsid w:val="00D62593"/>
    <w:rsid w:val="00D631A6"/>
    <w:rsid w:val="00D63C87"/>
    <w:rsid w:val="00D645E8"/>
    <w:rsid w:val="00D66141"/>
    <w:rsid w:val="00D73F00"/>
    <w:rsid w:val="00D73FB4"/>
    <w:rsid w:val="00D8283B"/>
    <w:rsid w:val="00D83983"/>
    <w:rsid w:val="00D9049D"/>
    <w:rsid w:val="00D9527A"/>
    <w:rsid w:val="00D95742"/>
    <w:rsid w:val="00D97859"/>
    <w:rsid w:val="00DA31F3"/>
    <w:rsid w:val="00DA3C4A"/>
    <w:rsid w:val="00DA3F3B"/>
    <w:rsid w:val="00DA5771"/>
    <w:rsid w:val="00DB3CCD"/>
    <w:rsid w:val="00DB3F9C"/>
    <w:rsid w:val="00DB413F"/>
    <w:rsid w:val="00DB7022"/>
    <w:rsid w:val="00DC181C"/>
    <w:rsid w:val="00DC4975"/>
    <w:rsid w:val="00DD1787"/>
    <w:rsid w:val="00DD2CB8"/>
    <w:rsid w:val="00DE64B4"/>
    <w:rsid w:val="00DF0513"/>
    <w:rsid w:val="00DF134D"/>
    <w:rsid w:val="00E02039"/>
    <w:rsid w:val="00E10574"/>
    <w:rsid w:val="00E1242E"/>
    <w:rsid w:val="00E2289C"/>
    <w:rsid w:val="00E2394D"/>
    <w:rsid w:val="00E23F8C"/>
    <w:rsid w:val="00E254D2"/>
    <w:rsid w:val="00E36A4B"/>
    <w:rsid w:val="00E44E28"/>
    <w:rsid w:val="00E45396"/>
    <w:rsid w:val="00E46DBE"/>
    <w:rsid w:val="00E558F0"/>
    <w:rsid w:val="00E66E4C"/>
    <w:rsid w:val="00E80407"/>
    <w:rsid w:val="00E81829"/>
    <w:rsid w:val="00E864CE"/>
    <w:rsid w:val="00E87CD1"/>
    <w:rsid w:val="00E90D57"/>
    <w:rsid w:val="00E90E8D"/>
    <w:rsid w:val="00EA7BB4"/>
    <w:rsid w:val="00EB0E08"/>
    <w:rsid w:val="00EB7D0F"/>
    <w:rsid w:val="00EC02FE"/>
    <w:rsid w:val="00ED623F"/>
    <w:rsid w:val="00EF04DB"/>
    <w:rsid w:val="00EF0E9F"/>
    <w:rsid w:val="00EF402E"/>
    <w:rsid w:val="00EF71E1"/>
    <w:rsid w:val="00F024FA"/>
    <w:rsid w:val="00F128C2"/>
    <w:rsid w:val="00F15F76"/>
    <w:rsid w:val="00F21D0B"/>
    <w:rsid w:val="00F23E62"/>
    <w:rsid w:val="00F34607"/>
    <w:rsid w:val="00F414F0"/>
    <w:rsid w:val="00F4376F"/>
    <w:rsid w:val="00F465DD"/>
    <w:rsid w:val="00F53157"/>
    <w:rsid w:val="00F53CED"/>
    <w:rsid w:val="00F54DEE"/>
    <w:rsid w:val="00F5571A"/>
    <w:rsid w:val="00F63E0A"/>
    <w:rsid w:val="00F66108"/>
    <w:rsid w:val="00F8087C"/>
    <w:rsid w:val="00F80CC0"/>
    <w:rsid w:val="00F85663"/>
    <w:rsid w:val="00F857D6"/>
    <w:rsid w:val="00F93872"/>
    <w:rsid w:val="00FB57A7"/>
    <w:rsid w:val="00FB5905"/>
    <w:rsid w:val="00FB765A"/>
    <w:rsid w:val="00FC1819"/>
    <w:rsid w:val="00FC5FC5"/>
    <w:rsid w:val="00FD3856"/>
    <w:rsid w:val="00FE51BA"/>
    <w:rsid w:val="00FF1561"/>
    <w:rsid w:val="00FF18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rules v:ext="edit">
        <o:r id="V:Rule1" type="connector" idref="#AutoShape 6"/>
        <o:r id="V:Rule2"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103D"/>
    <w:pPr>
      <w:tabs>
        <w:tab w:val="right" w:pos="9072"/>
      </w:tabs>
      <w:spacing w:line="310" w:lineRule="atLeast"/>
    </w:pPr>
    <w:rPr>
      <w:sz w:val="24"/>
      <w:lang w:val="en-GB"/>
    </w:rPr>
  </w:style>
  <w:style w:type="paragraph" w:styleId="Heading1">
    <w:name w:val="heading 1"/>
    <w:basedOn w:val="Normal"/>
    <w:next w:val="Normal"/>
    <w:uiPriority w:val="9"/>
    <w:qFormat/>
    <w:rsid w:val="00CF21F6"/>
    <w:pPr>
      <w:keepNext/>
      <w:numPr>
        <w:numId w:val="1"/>
      </w:numPr>
      <w:tabs>
        <w:tab w:val="clear" w:pos="612"/>
        <w:tab w:val="num" w:pos="432"/>
      </w:tabs>
      <w:spacing w:before="480" w:after="60" w:line="280" w:lineRule="atLeast"/>
      <w:ind w:left="432"/>
      <w:outlineLvl w:val="0"/>
    </w:pPr>
    <w:rPr>
      <w:b/>
      <w:caps/>
      <w:kern w:val="28"/>
      <w:sz w:val="28"/>
    </w:rPr>
  </w:style>
  <w:style w:type="paragraph" w:styleId="Heading2">
    <w:name w:val="heading 2"/>
    <w:basedOn w:val="Normal"/>
    <w:next w:val="Normal"/>
    <w:autoRedefine/>
    <w:uiPriority w:val="9"/>
    <w:qFormat/>
    <w:rsid w:val="00DA5771"/>
    <w:pPr>
      <w:keepNext/>
      <w:numPr>
        <w:ilvl w:val="1"/>
        <w:numId w:val="1"/>
      </w:numPr>
      <w:spacing w:before="240" w:after="60" w:line="340" w:lineRule="atLeast"/>
      <w:outlineLvl w:val="1"/>
    </w:pPr>
    <w:rPr>
      <w:b/>
      <w:sz w:val="28"/>
    </w:rPr>
  </w:style>
  <w:style w:type="paragraph" w:styleId="Heading3">
    <w:name w:val="heading 3"/>
    <w:basedOn w:val="Normal"/>
    <w:next w:val="Normal"/>
    <w:autoRedefine/>
    <w:uiPriority w:val="9"/>
    <w:qFormat/>
    <w:rsid w:val="001E0B36"/>
    <w:pPr>
      <w:keepNext/>
      <w:numPr>
        <w:ilvl w:val="2"/>
        <w:numId w:val="1"/>
      </w:numPr>
      <w:tabs>
        <w:tab w:val="clear" w:pos="9072"/>
        <w:tab w:val="left" w:pos="652"/>
        <w:tab w:val="left" w:pos="822"/>
      </w:tabs>
      <w:spacing w:before="120" w:after="60" w:line="340" w:lineRule="atLeast"/>
      <w:outlineLvl w:val="2"/>
    </w:pPr>
    <w:rPr>
      <w:b/>
    </w:rPr>
  </w:style>
  <w:style w:type="paragraph" w:styleId="Heading4">
    <w:name w:val="heading 4"/>
    <w:basedOn w:val="Normal"/>
    <w:next w:val="Normal"/>
    <w:autoRedefine/>
    <w:uiPriority w:val="9"/>
    <w:qFormat/>
    <w:rsid w:val="003E5914"/>
    <w:pPr>
      <w:keepNext/>
      <w:numPr>
        <w:ilvl w:val="3"/>
        <w:numId w:val="1"/>
      </w:numPr>
      <w:spacing w:before="240" w:after="60"/>
      <w:outlineLvl w:val="3"/>
    </w:pPr>
    <w:rPr>
      <w:b/>
    </w:rPr>
  </w:style>
  <w:style w:type="paragraph" w:styleId="Heading5">
    <w:name w:val="heading 5"/>
    <w:basedOn w:val="Normal"/>
    <w:next w:val="Normal"/>
    <w:uiPriority w:val="9"/>
    <w:qFormat/>
    <w:rsid w:val="003E5914"/>
    <w:pPr>
      <w:numPr>
        <w:ilvl w:val="4"/>
        <w:numId w:val="1"/>
      </w:numPr>
      <w:spacing w:before="240" w:after="60"/>
      <w:outlineLvl w:val="4"/>
    </w:pPr>
    <w:rPr>
      <w:sz w:val="22"/>
    </w:rPr>
  </w:style>
  <w:style w:type="paragraph" w:styleId="Heading6">
    <w:name w:val="heading 6"/>
    <w:basedOn w:val="Normal"/>
    <w:next w:val="Normal"/>
    <w:uiPriority w:val="9"/>
    <w:qFormat/>
    <w:rsid w:val="003E5914"/>
    <w:pPr>
      <w:numPr>
        <w:ilvl w:val="5"/>
        <w:numId w:val="1"/>
      </w:numPr>
      <w:spacing w:before="240" w:after="60"/>
      <w:outlineLvl w:val="5"/>
    </w:pPr>
    <w:rPr>
      <w:i/>
      <w:sz w:val="22"/>
    </w:rPr>
  </w:style>
  <w:style w:type="paragraph" w:styleId="Heading7">
    <w:name w:val="heading 7"/>
    <w:basedOn w:val="Normal"/>
    <w:next w:val="Normal"/>
    <w:uiPriority w:val="9"/>
    <w:qFormat/>
    <w:rsid w:val="003E5914"/>
    <w:pPr>
      <w:numPr>
        <w:ilvl w:val="6"/>
        <w:numId w:val="1"/>
      </w:numPr>
      <w:spacing w:before="240" w:after="60"/>
      <w:outlineLvl w:val="6"/>
    </w:pPr>
    <w:rPr>
      <w:rFonts w:ascii="Arial" w:hAnsi="Arial"/>
      <w:sz w:val="20"/>
    </w:rPr>
  </w:style>
  <w:style w:type="paragraph" w:styleId="Heading8">
    <w:name w:val="heading 8"/>
    <w:basedOn w:val="Normal"/>
    <w:next w:val="Normal"/>
    <w:uiPriority w:val="9"/>
    <w:qFormat/>
    <w:rsid w:val="003E5914"/>
    <w:pPr>
      <w:numPr>
        <w:ilvl w:val="7"/>
        <w:numId w:val="1"/>
      </w:numPr>
      <w:spacing w:before="240" w:after="60"/>
      <w:outlineLvl w:val="7"/>
    </w:pPr>
    <w:rPr>
      <w:rFonts w:ascii="Arial" w:hAnsi="Arial"/>
      <w:i/>
      <w:sz w:val="20"/>
    </w:rPr>
  </w:style>
  <w:style w:type="paragraph" w:styleId="Heading9">
    <w:name w:val="heading 9"/>
    <w:basedOn w:val="Normal"/>
    <w:next w:val="Normal"/>
    <w:uiPriority w:val="9"/>
    <w:qFormat/>
    <w:rsid w:val="003E5914"/>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3E5914"/>
    <w:pPr>
      <w:tabs>
        <w:tab w:val="clear" w:pos="9072"/>
        <w:tab w:val="left" w:pos="480"/>
        <w:tab w:val="right" w:pos="9060"/>
      </w:tabs>
      <w:spacing w:before="120"/>
    </w:pPr>
    <w:rPr>
      <w:b/>
      <w:caps/>
      <w:noProof/>
    </w:rPr>
  </w:style>
  <w:style w:type="paragraph" w:styleId="TOC2">
    <w:name w:val="toc 2"/>
    <w:basedOn w:val="Normal"/>
    <w:next w:val="Normal"/>
    <w:autoRedefine/>
    <w:semiHidden/>
    <w:rsid w:val="003E5914"/>
    <w:rPr>
      <w:noProof/>
    </w:rPr>
  </w:style>
  <w:style w:type="paragraph" w:styleId="TOC3">
    <w:name w:val="toc 3"/>
    <w:basedOn w:val="Normal"/>
    <w:next w:val="Normal"/>
    <w:autoRedefine/>
    <w:semiHidden/>
    <w:rsid w:val="003E5914"/>
    <w:pPr>
      <w:tabs>
        <w:tab w:val="left" w:pos="1200"/>
      </w:tabs>
      <w:spacing w:line="280" w:lineRule="exact"/>
      <w:ind w:left="238"/>
    </w:pPr>
    <w:rPr>
      <w:noProof/>
      <w:sz w:val="22"/>
    </w:rPr>
  </w:style>
  <w:style w:type="paragraph" w:styleId="TOC4">
    <w:name w:val="toc 4"/>
    <w:basedOn w:val="Normal"/>
    <w:next w:val="Normal"/>
    <w:autoRedefine/>
    <w:semiHidden/>
    <w:rsid w:val="003E5914"/>
    <w:pPr>
      <w:ind w:left="480"/>
    </w:pPr>
    <w:rPr>
      <w:sz w:val="20"/>
    </w:rPr>
  </w:style>
  <w:style w:type="paragraph" w:styleId="TOC5">
    <w:name w:val="toc 5"/>
    <w:basedOn w:val="Normal"/>
    <w:next w:val="Normal"/>
    <w:autoRedefine/>
    <w:semiHidden/>
    <w:rsid w:val="003E5914"/>
    <w:pPr>
      <w:ind w:left="720"/>
    </w:pPr>
    <w:rPr>
      <w:sz w:val="20"/>
    </w:rPr>
  </w:style>
  <w:style w:type="paragraph" w:styleId="TOC6">
    <w:name w:val="toc 6"/>
    <w:basedOn w:val="Normal"/>
    <w:next w:val="Normal"/>
    <w:autoRedefine/>
    <w:semiHidden/>
    <w:rsid w:val="003E5914"/>
    <w:pPr>
      <w:ind w:left="960"/>
    </w:pPr>
    <w:rPr>
      <w:sz w:val="20"/>
    </w:rPr>
  </w:style>
  <w:style w:type="paragraph" w:styleId="TOC7">
    <w:name w:val="toc 7"/>
    <w:basedOn w:val="Normal"/>
    <w:next w:val="Normal"/>
    <w:autoRedefine/>
    <w:semiHidden/>
    <w:rsid w:val="003E5914"/>
    <w:pPr>
      <w:ind w:left="1200"/>
    </w:pPr>
    <w:rPr>
      <w:sz w:val="20"/>
    </w:rPr>
  </w:style>
  <w:style w:type="paragraph" w:styleId="TOC8">
    <w:name w:val="toc 8"/>
    <w:basedOn w:val="Normal"/>
    <w:next w:val="Normal"/>
    <w:autoRedefine/>
    <w:semiHidden/>
    <w:rsid w:val="003E5914"/>
    <w:pPr>
      <w:ind w:left="1440"/>
    </w:pPr>
    <w:rPr>
      <w:sz w:val="20"/>
    </w:rPr>
  </w:style>
  <w:style w:type="paragraph" w:styleId="TOC9">
    <w:name w:val="toc 9"/>
    <w:basedOn w:val="Normal"/>
    <w:next w:val="Normal"/>
    <w:autoRedefine/>
    <w:semiHidden/>
    <w:rsid w:val="003E5914"/>
    <w:pPr>
      <w:ind w:left="1680"/>
    </w:pPr>
    <w:rPr>
      <w:sz w:val="20"/>
    </w:rPr>
  </w:style>
  <w:style w:type="paragraph" w:styleId="Header">
    <w:name w:val="header"/>
    <w:basedOn w:val="Normal"/>
    <w:rsid w:val="003E5914"/>
    <w:pPr>
      <w:tabs>
        <w:tab w:val="center" w:pos="4153"/>
        <w:tab w:val="right" w:pos="8306"/>
      </w:tabs>
    </w:pPr>
  </w:style>
  <w:style w:type="paragraph" w:styleId="Footer">
    <w:name w:val="footer"/>
    <w:basedOn w:val="Normal"/>
    <w:rsid w:val="003E5914"/>
    <w:pPr>
      <w:tabs>
        <w:tab w:val="center" w:pos="4153"/>
        <w:tab w:val="right" w:pos="8306"/>
      </w:tabs>
    </w:pPr>
  </w:style>
  <w:style w:type="character" w:styleId="PageNumber">
    <w:name w:val="page number"/>
    <w:basedOn w:val="DefaultParagraphFont"/>
    <w:rsid w:val="003E5914"/>
  </w:style>
  <w:style w:type="paragraph" w:styleId="DocumentMap">
    <w:name w:val="Document Map"/>
    <w:basedOn w:val="Normal"/>
    <w:semiHidden/>
    <w:rsid w:val="003E5914"/>
    <w:pPr>
      <w:shd w:val="clear" w:color="auto" w:fill="000080"/>
    </w:pPr>
    <w:rPr>
      <w:rFonts w:ascii="Tahoma" w:hAnsi="Tahoma"/>
    </w:rPr>
  </w:style>
  <w:style w:type="paragraph" w:styleId="Caption">
    <w:name w:val="caption"/>
    <w:basedOn w:val="Normal"/>
    <w:next w:val="BodyText"/>
    <w:qFormat/>
    <w:rsid w:val="00B36D18"/>
    <w:pPr>
      <w:spacing w:after="240"/>
    </w:pPr>
    <w:rPr>
      <w:i/>
    </w:rPr>
  </w:style>
  <w:style w:type="paragraph" w:styleId="Title">
    <w:name w:val="Title"/>
    <w:basedOn w:val="Normal"/>
    <w:qFormat/>
    <w:rsid w:val="003E5914"/>
    <w:pPr>
      <w:spacing w:before="240" w:after="60" w:line="280" w:lineRule="atLeast"/>
      <w:outlineLvl w:val="0"/>
    </w:pPr>
    <w:rPr>
      <w:b/>
      <w:caps/>
      <w:kern w:val="28"/>
      <w:sz w:val="28"/>
    </w:rPr>
  </w:style>
  <w:style w:type="paragraph" w:customStyle="1" w:styleId="titel-algemeen">
    <w:name w:val="titel-algemeen"/>
    <w:basedOn w:val="Normal"/>
    <w:next w:val="Normal"/>
    <w:autoRedefine/>
    <w:rsid w:val="003E5914"/>
    <w:pPr>
      <w:spacing w:before="240" w:after="240" w:line="280" w:lineRule="atLeast"/>
    </w:pPr>
    <w:rPr>
      <w:b/>
      <w:caps/>
      <w:sz w:val="28"/>
    </w:rPr>
  </w:style>
  <w:style w:type="paragraph" w:styleId="BodyText">
    <w:name w:val="Body Text"/>
    <w:basedOn w:val="Normal"/>
    <w:link w:val="BodyTextChar"/>
    <w:rsid w:val="00382ABC"/>
    <w:pPr>
      <w:tabs>
        <w:tab w:val="right" w:pos="8505"/>
      </w:tabs>
      <w:spacing w:after="120" w:line="340" w:lineRule="exact"/>
    </w:pPr>
  </w:style>
  <w:style w:type="paragraph" w:customStyle="1" w:styleId="Appendix2">
    <w:name w:val="Appendix2"/>
    <w:basedOn w:val="BodyText"/>
    <w:next w:val="BodyText"/>
    <w:rsid w:val="003E5914"/>
    <w:pPr>
      <w:tabs>
        <w:tab w:val="clear" w:pos="8505"/>
        <w:tab w:val="num" w:pos="576"/>
      </w:tabs>
      <w:ind w:left="576" w:hanging="576"/>
    </w:pPr>
    <w:rPr>
      <w:b/>
    </w:rPr>
  </w:style>
  <w:style w:type="paragraph" w:customStyle="1" w:styleId="Appendix1">
    <w:name w:val="Appendix1"/>
    <w:basedOn w:val="Normal"/>
    <w:next w:val="BodyText"/>
    <w:rsid w:val="00BD1D16"/>
    <w:pPr>
      <w:tabs>
        <w:tab w:val="left" w:pos="1191"/>
        <w:tab w:val="num" w:pos="1440"/>
      </w:tabs>
      <w:spacing w:after="340" w:line="240" w:lineRule="auto"/>
      <w:ind w:left="1418" w:hanging="1418"/>
      <w:jc w:val="both"/>
      <w:outlineLvl w:val="0"/>
    </w:pPr>
    <w:rPr>
      <w:b/>
      <w:sz w:val="28"/>
    </w:rPr>
  </w:style>
  <w:style w:type="paragraph" w:styleId="ListBullet2">
    <w:name w:val="List Bullet 2"/>
    <w:basedOn w:val="Normal"/>
    <w:autoRedefine/>
    <w:rsid w:val="003E5914"/>
    <w:pPr>
      <w:tabs>
        <w:tab w:val="num" w:pos="720"/>
      </w:tabs>
      <w:spacing w:line="340" w:lineRule="atLeast"/>
      <w:ind w:left="720" w:hanging="360"/>
      <w:jc w:val="both"/>
    </w:pPr>
    <w:rPr>
      <w:sz w:val="22"/>
    </w:rPr>
  </w:style>
  <w:style w:type="character" w:customStyle="1" w:styleId="MTEquationSection">
    <w:name w:val="MTEquationSection"/>
    <w:basedOn w:val="DefaultParagraphFont"/>
    <w:rsid w:val="003E5914"/>
    <w:rPr>
      <w:vanish/>
      <w:color w:val="FF0000"/>
    </w:rPr>
  </w:style>
  <w:style w:type="character" w:styleId="Hyperlink">
    <w:name w:val="Hyperlink"/>
    <w:basedOn w:val="DefaultParagraphFont"/>
    <w:rsid w:val="009E7ED6"/>
    <w:rPr>
      <w:color w:val="0000FF"/>
      <w:u w:val="single"/>
    </w:rPr>
  </w:style>
  <w:style w:type="paragraph" w:customStyle="1" w:styleId="nomenclature">
    <w:name w:val="nomenclature"/>
    <w:basedOn w:val="Normal"/>
    <w:rsid w:val="003E5914"/>
    <w:pPr>
      <w:tabs>
        <w:tab w:val="clear" w:pos="9072"/>
        <w:tab w:val="left" w:pos="1134"/>
      </w:tabs>
      <w:spacing w:line="340" w:lineRule="exact"/>
    </w:pPr>
  </w:style>
  <w:style w:type="paragraph" w:customStyle="1" w:styleId="Equation">
    <w:name w:val="Equation"/>
    <w:basedOn w:val="BodyText"/>
    <w:next w:val="BodyText"/>
    <w:rsid w:val="007D4E0A"/>
    <w:pPr>
      <w:tabs>
        <w:tab w:val="clear" w:pos="8505"/>
        <w:tab w:val="center" w:pos="4253"/>
      </w:tabs>
      <w:spacing w:line="340" w:lineRule="atLeast"/>
      <w:contextualSpacing/>
    </w:pPr>
    <w:rPr>
      <w:lang w:val="en-US"/>
    </w:rPr>
  </w:style>
  <w:style w:type="paragraph" w:customStyle="1" w:styleId="TitlePageClassification">
    <w:name w:val="TitlePage Classification"/>
    <w:next w:val="TitlepageReportNumber"/>
    <w:rsid w:val="0085417E"/>
    <w:pPr>
      <w:spacing w:line="340" w:lineRule="exact"/>
      <w:ind w:left="-567"/>
    </w:pPr>
    <w:rPr>
      <w:rFonts w:ascii="Franklin Gothic Book" w:hAnsi="Franklin Gothic Book"/>
      <w:noProof/>
      <w:sz w:val="24"/>
      <w:szCs w:val="24"/>
      <w:lang w:val="en-GB" w:eastAsia="en-GB"/>
    </w:rPr>
  </w:style>
  <w:style w:type="paragraph" w:customStyle="1" w:styleId="TitlepageReportNumber">
    <w:name w:val="Titlepage ReportNumber"/>
    <w:rsid w:val="0085417E"/>
    <w:pPr>
      <w:spacing w:line="340" w:lineRule="exact"/>
      <w:ind w:left="-567"/>
    </w:pPr>
    <w:rPr>
      <w:rFonts w:ascii="Franklin Gothic Book" w:hAnsi="Franklin Gothic Book"/>
      <w:noProof/>
      <w:sz w:val="24"/>
      <w:lang w:val="en-GB" w:eastAsia="en-GB"/>
    </w:rPr>
  </w:style>
  <w:style w:type="paragraph" w:customStyle="1" w:styleId="TitlePageReportTitle">
    <w:name w:val="TitlePage ReportTitle"/>
    <w:basedOn w:val="Header"/>
    <w:rsid w:val="0085417E"/>
    <w:pPr>
      <w:tabs>
        <w:tab w:val="clear" w:pos="4153"/>
        <w:tab w:val="clear" w:pos="8306"/>
        <w:tab w:val="clear" w:pos="9072"/>
      </w:tabs>
      <w:spacing w:line="480" w:lineRule="atLeast"/>
    </w:pPr>
    <w:rPr>
      <w:rFonts w:ascii="Franklin Gothic Demi" w:hAnsi="Franklin Gothic Demi"/>
      <w:b/>
      <w:noProof/>
      <w:sz w:val="36"/>
      <w:lang w:val="nl-NL" w:eastAsia="en-GB"/>
    </w:rPr>
  </w:style>
  <w:style w:type="paragraph" w:customStyle="1" w:styleId="TitlePageSubTitle">
    <w:name w:val="TitlePage SubTitle"/>
    <w:rsid w:val="0085417E"/>
    <w:pPr>
      <w:spacing w:line="480" w:lineRule="atLeast"/>
    </w:pPr>
    <w:rPr>
      <w:rFonts w:ascii="Franklin Gothic Book" w:hAnsi="Franklin Gothic Book"/>
      <w:noProof/>
      <w:sz w:val="32"/>
      <w:lang w:val="en-GB" w:eastAsia="en-GB"/>
    </w:rPr>
  </w:style>
  <w:style w:type="character" w:customStyle="1" w:styleId="TilePageCompanyChar">
    <w:name w:val="TilePage Company Char"/>
    <w:basedOn w:val="TitlePageAuthorChar"/>
    <w:rsid w:val="0085417E"/>
    <w:rPr>
      <w:rFonts w:ascii="Franklin Gothic Book" w:hAnsi="Franklin Gothic Book"/>
      <w:noProof/>
      <w:sz w:val="22"/>
      <w:lang w:val="en-GB" w:eastAsia="en-GB" w:bidi="ar-SA"/>
    </w:rPr>
  </w:style>
  <w:style w:type="character" w:customStyle="1" w:styleId="TitlePageAuthorChar">
    <w:name w:val="TitlePage Author Char"/>
    <w:basedOn w:val="DefaultParagraphFont"/>
    <w:rsid w:val="0085417E"/>
    <w:rPr>
      <w:rFonts w:ascii="Franklin Gothic Book" w:hAnsi="Franklin Gothic Book"/>
      <w:noProof/>
      <w:sz w:val="28"/>
      <w:lang w:val="en-GB" w:eastAsia="en-GB" w:bidi="ar-SA"/>
    </w:rPr>
  </w:style>
  <w:style w:type="paragraph" w:customStyle="1" w:styleId="TitlePageAuthor">
    <w:name w:val="TitlePage Author"/>
    <w:rsid w:val="0085417E"/>
    <w:pPr>
      <w:spacing w:line="340" w:lineRule="atLeast"/>
    </w:pPr>
    <w:rPr>
      <w:rFonts w:ascii="Franklin Gothic Book" w:hAnsi="Franklin Gothic Book"/>
      <w:noProof/>
      <w:sz w:val="28"/>
      <w:lang w:val="en-GB" w:eastAsia="en-GB"/>
    </w:rPr>
  </w:style>
  <w:style w:type="paragraph" w:customStyle="1" w:styleId="BodyTextFirstPage">
    <w:name w:val="Body Text First Page"/>
    <w:basedOn w:val="BodyText"/>
    <w:rsid w:val="0085417E"/>
    <w:pPr>
      <w:tabs>
        <w:tab w:val="clear" w:pos="8505"/>
        <w:tab w:val="clear" w:pos="9072"/>
        <w:tab w:val="left" w:pos="2694"/>
      </w:tabs>
      <w:spacing w:line="280" w:lineRule="atLeast"/>
    </w:pPr>
    <w:rPr>
      <w:sz w:val="18"/>
      <w:lang w:val="nl-NL" w:eastAsia="en-GB"/>
    </w:rPr>
  </w:style>
  <w:style w:type="paragraph" w:customStyle="1" w:styleId="FirstPageText">
    <w:name w:val="FirstPageText"/>
    <w:basedOn w:val="BodyTextFirstPage"/>
    <w:rsid w:val="0085417E"/>
    <w:pPr>
      <w:tabs>
        <w:tab w:val="clear" w:pos="2694"/>
        <w:tab w:val="left" w:pos="1985"/>
      </w:tabs>
      <w:spacing w:line="240" w:lineRule="atLeast"/>
      <w:ind w:right="-499"/>
    </w:pPr>
  </w:style>
  <w:style w:type="paragraph" w:customStyle="1" w:styleId="Koppen">
    <w:name w:val="Koppen"/>
    <w:next w:val="BodyText"/>
    <w:link w:val="KoppenChar"/>
    <w:rsid w:val="0085417E"/>
    <w:pPr>
      <w:keepNext/>
      <w:spacing w:after="340" w:line="340" w:lineRule="atLeast"/>
    </w:pPr>
    <w:rPr>
      <w:rFonts w:ascii="Franklin Gothic Demi" w:hAnsi="Franklin Gothic Demi"/>
      <w:sz w:val="28"/>
      <w:lang w:val="nl-NL" w:eastAsia="en-GB"/>
    </w:rPr>
  </w:style>
  <w:style w:type="character" w:customStyle="1" w:styleId="KoppenChar">
    <w:name w:val="Koppen Char"/>
    <w:basedOn w:val="DefaultParagraphFont"/>
    <w:link w:val="Koppen"/>
    <w:rsid w:val="0085417E"/>
    <w:rPr>
      <w:rFonts w:ascii="Franklin Gothic Demi" w:hAnsi="Franklin Gothic Demi"/>
      <w:sz w:val="28"/>
      <w:lang w:val="nl-NL" w:eastAsia="en-GB" w:bidi="ar-SA"/>
    </w:rPr>
  </w:style>
  <w:style w:type="paragraph" w:customStyle="1" w:styleId="Extra">
    <w:name w:val="Extra"/>
    <w:basedOn w:val="Normal"/>
    <w:next w:val="BodyText"/>
    <w:link w:val="ExtraChar"/>
    <w:rsid w:val="0085417E"/>
    <w:pPr>
      <w:keepNext/>
      <w:tabs>
        <w:tab w:val="clear" w:pos="9072"/>
      </w:tabs>
      <w:spacing w:after="340" w:line="340" w:lineRule="atLeast"/>
      <w:outlineLvl w:val="0"/>
    </w:pPr>
    <w:rPr>
      <w:rFonts w:ascii="Franklin Gothic Demi" w:hAnsi="Franklin Gothic Demi"/>
      <w:sz w:val="28"/>
      <w:lang w:val="nl-NL" w:eastAsia="en-GB"/>
    </w:rPr>
  </w:style>
  <w:style w:type="character" w:customStyle="1" w:styleId="ExtraChar">
    <w:name w:val="Extra Char"/>
    <w:basedOn w:val="DefaultParagraphFont"/>
    <w:link w:val="Extra"/>
    <w:rsid w:val="0085417E"/>
    <w:rPr>
      <w:rFonts w:ascii="Franklin Gothic Demi" w:hAnsi="Franklin Gothic Demi"/>
      <w:sz w:val="28"/>
      <w:lang w:val="nl-NL" w:eastAsia="en-GB" w:bidi="ar-SA"/>
    </w:rPr>
  </w:style>
  <w:style w:type="paragraph" w:customStyle="1" w:styleId="Headertekst">
    <w:name w:val="Header tekst"/>
    <w:rsid w:val="0085417E"/>
    <w:pPr>
      <w:spacing w:line="300" w:lineRule="atLeast"/>
      <w:ind w:left="-567"/>
    </w:pPr>
    <w:rPr>
      <w:rFonts w:ascii="Franklin Gothic Book" w:hAnsi="Franklin Gothic Book"/>
      <w:sz w:val="16"/>
      <w:lang w:eastAsia="en-GB"/>
    </w:rPr>
  </w:style>
  <w:style w:type="paragraph" w:customStyle="1" w:styleId="TilePageCompany">
    <w:name w:val="TilePage Company"/>
    <w:basedOn w:val="TitlePageAuthor"/>
    <w:rsid w:val="0085417E"/>
    <w:rPr>
      <w:sz w:val="22"/>
    </w:rPr>
  </w:style>
  <w:style w:type="paragraph" w:customStyle="1" w:styleId="BodyTextHangingIndent">
    <w:name w:val="Body Text Hanging Indent"/>
    <w:basedOn w:val="BodyText"/>
    <w:next w:val="BodyText"/>
    <w:rsid w:val="0085417E"/>
    <w:pPr>
      <w:tabs>
        <w:tab w:val="clear" w:pos="8505"/>
        <w:tab w:val="clear" w:pos="9072"/>
      </w:tabs>
      <w:spacing w:line="340" w:lineRule="atLeast"/>
      <w:ind w:left="357" w:hanging="357"/>
    </w:pPr>
    <w:rPr>
      <w:sz w:val="22"/>
      <w:lang w:val="nl-NL" w:eastAsia="en-GB"/>
    </w:rPr>
  </w:style>
  <w:style w:type="paragraph" w:customStyle="1" w:styleId="BodyTextHangingIndent2">
    <w:name w:val="Body Text Hanging Indent2"/>
    <w:basedOn w:val="BodyText"/>
    <w:next w:val="BodyText"/>
    <w:rsid w:val="0085417E"/>
    <w:pPr>
      <w:tabs>
        <w:tab w:val="clear" w:pos="8505"/>
        <w:tab w:val="clear" w:pos="9072"/>
      </w:tabs>
      <w:spacing w:line="340" w:lineRule="atLeast"/>
      <w:ind w:left="714" w:hanging="357"/>
    </w:pPr>
    <w:rPr>
      <w:sz w:val="22"/>
      <w:lang w:val="nl-NL" w:eastAsia="en-GB"/>
    </w:rPr>
  </w:style>
  <w:style w:type="paragraph" w:styleId="BodyTextIndent">
    <w:name w:val="Body Text Indent"/>
    <w:basedOn w:val="Normal"/>
    <w:rsid w:val="0085417E"/>
    <w:pPr>
      <w:tabs>
        <w:tab w:val="clear" w:pos="9072"/>
      </w:tabs>
      <w:spacing w:after="120" w:line="240" w:lineRule="auto"/>
      <w:ind w:left="360"/>
    </w:pPr>
    <w:rPr>
      <w:sz w:val="22"/>
      <w:lang w:val="nl-NL" w:eastAsia="en-GB"/>
    </w:rPr>
  </w:style>
  <w:style w:type="paragraph" w:styleId="BodyTextIndent2">
    <w:name w:val="Body Text Indent 2"/>
    <w:basedOn w:val="Normal"/>
    <w:rsid w:val="0085417E"/>
    <w:pPr>
      <w:tabs>
        <w:tab w:val="clear" w:pos="9072"/>
      </w:tabs>
      <w:spacing w:line="240" w:lineRule="auto"/>
      <w:ind w:left="924"/>
    </w:pPr>
    <w:rPr>
      <w:sz w:val="22"/>
      <w:lang w:val="nl-NL" w:eastAsia="en-GB"/>
    </w:rPr>
  </w:style>
  <w:style w:type="paragraph" w:customStyle="1" w:styleId="BodyTextSmall">
    <w:name w:val="Body Text Small"/>
    <w:basedOn w:val="BodyTextFirstPage"/>
    <w:rsid w:val="0085417E"/>
    <w:rPr>
      <w:noProof/>
    </w:rPr>
  </w:style>
  <w:style w:type="character" w:styleId="Emphasis">
    <w:name w:val="Emphasis"/>
    <w:basedOn w:val="DefaultParagraphFont"/>
    <w:qFormat/>
    <w:rsid w:val="0085417E"/>
    <w:rPr>
      <w:i/>
    </w:rPr>
  </w:style>
  <w:style w:type="paragraph" w:customStyle="1" w:styleId="Figuuronderschrift">
    <w:name w:val="Figuuronderschrift"/>
    <w:basedOn w:val="Normal"/>
    <w:rsid w:val="0085417E"/>
    <w:pPr>
      <w:tabs>
        <w:tab w:val="clear" w:pos="9072"/>
      </w:tabs>
      <w:spacing w:line="240" w:lineRule="auto"/>
    </w:pPr>
    <w:rPr>
      <w:rFonts w:ascii="Arial" w:hAnsi="Arial"/>
      <w:i/>
      <w:sz w:val="20"/>
      <w:lang w:val="nl-NL" w:eastAsia="en-GB"/>
    </w:rPr>
  </w:style>
  <w:style w:type="paragraph" w:customStyle="1" w:styleId="FooterRubr">
    <w:name w:val="FooterRubr"/>
    <w:basedOn w:val="Normal"/>
    <w:rsid w:val="0085417E"/>
    <w:pPr>
      <w:tabs>
        <w:tab w:val="clear" w:pos="9072"/>
      </w:tabs>
      <w:spacing w:line="240" w:lineRule="atLeast"/>
    </w:pPr>
    <w:rPr>
      <w:rFonts w:ascii="Franklin Gothic Book" w:hAnsi="Franklin Gothic Book"/>
      <w:noProof/>
      <w:sz w:val="20"/>
      <w:lang w:val="nl-NL" w:eastAsia="en-GB"/>
    </w:rPr>
  </w:style>
  <w:style w:type="paragraph" w:customStyle="1" w:styleId="Headertekst1">
    <w:name w:val="Header tekst1"/>
    <w:basedOn w:val="BodyText"/>
    <w:rsid w:val="0085417E"/>
    <w:pPr>
      <w:tabs>
        <w:tab w:val="clear" w:pos="8505"/>
        <w:tab w:val="clear" w:pos="9072"/>
      </w:tabs>
      <w:spacing w:line="240" w:lineRule="auto"/>
    </w:pPr>
    <w:rPr>
      <w:rFonts w:ascii="Franklin Gothic Book" w:hAnsi="Franklin Gothic Book"/>
      <w:sz w:val="18"/>
      <w:lang w:val="en-US" w:eastAsia="en-GB"/>
    </w:rPr>
  </w:style>
  <w:style w:type="paragraph" w:customStyle="1" w:styleId="HeaderRubr">
    <w:name w:val="HeaderRubr"/>
    <w:basedOn w:val="FooterRubr"/>
    <w:rsid w:val="0085417E"/>
    <w:rPr>
      <w:noProof w:val="0"/>
      <w:lang w:val="en-US"/>
    </w:rPr>
  </w:style>
  <w:style w:type="paragraph" w:customStyle="1" w:styleId="kop1">
    <w:name w:val="kop1"/>
    <w:basedOn w:val="Normal"/>
    <w:next w:val="Normal"/>
    <w:rsid w:val="0085417E"/>
    <w:pPr>
      <w:pageBreakBefore/>
      <w:tabs>
        <w:tab w:val="clear" w:pos="9072"/>
      </w:tabs>
      <w:spacing w:line="240" w:lineRule="atLeast"/>
      <w:ind w:right="1106" w:hanging="142"/>
      <w:jc w:val="right"/>
    </w:pPr>
    <w:rPr>
      <w:rFonts w:ascii="Franklin Gothic Demi" w:hAnsi="Franklin Gothic Demi"/>
      <w:b/>
      <w:spacing w:val="2"/>
      <w:lang w:val="nl-NL" w:eastAsia="en-GB"/>
    </w:rPr>
  </w:style>
  <w:style w:type="paragraph" w:customStyle="1" w:styleId="kop2">
    <w:name w:val="kop2"/>
    <w:basedOn w:val="Normal"/>
    <w:next w:val="Normal"/>
    <w:rsid w:val="0085417E"/>
    <w:pPr>
      <w:tabs>
        <w:tab w:val="clear" w:pos="9072"/>
      </w:tabs>
      <w:spacing w:line="240" w:lineRule="atLeast"/>
      <w:ind w:right="1106" w:hanging="425"/>
      <w:jc w:val="right"/>
    </w:pPr>
    <w:rPr>
      <w:rFonts w:ascii="Franklin Gothic Book" w:hAnsi="Franklin Gothic Book"/>
      <w:spacing w:val="4"/>
      <w:lang w:val="nl-NL" w:eastAsia="en-GB"/>
    </w:rPr>
  </w:style>
  <w:style w:type="paragraph" w:customStyle="1" w:styleId="MSReportTitle">
    <w:name w:val="MS ReportTitle"/>
    <w:basedOn w:val="Header"/>
    <w:rsid w:val="0085417E"/>
    <w:pPr>
      <w:tabs>
        <w:tab w:val="clear" w:pos="4153"/>
        <w:tab w:val="clear" w:pos="8306"/>
        <w:tab w:val="clear" w:pos="9072"/>
      </w:tabs>
      <w:spacing w:line="480" w:lineRule="atLeast"/>
    </w:pPr>
    <w:rPr>
      <w:rFonts w:ascii="Franklin Gothic Demi" w:hAnsi="Franklin Gothic Demi"/>
      <w:b/>
      <w:noProof/>
      <w:sz w:val="28"/>
      <w:lang w:val="nl-NL" w:eastAsia="en-GB"/>
    </w:rPr>
  </w:style>
  <w:style w:type="paragraph" w:customStyle="1" w:styleId="MSSubTitle">
    <w:name w:val="MS SubTitle"/>
    <w:rsid w:val="0085417E"/>
    <w:pPr>
      <w:spacing w:line="480" w:lineRule="atLeast"/>
    </w:pPr>
    <w:rPr>
      <w:rFonts w:ascii="Franklin Gothic Book" w:hAnsi="Franklin Gothic Book"/>
      <w:noProof/>
      <w:sz w:val="28"/>
      <w:lang w:val="en-GB" w:eastAsia="en-GB"/>
    </w:rPr>
  </w:style>
  <w:style w:type="paragraph" w:customStyle="1" w:styleId="TBKopjes">
    <w:name w:val="TBKopjes"/>
    <w:basedOn w:val="Normal"/>
    <w:rsid w:val="0085417E"/>
    <w:pPr>
      <w:tabs>
        <w:tab w:val="clear" w:pos="9072"/>
      </w:tabs>
      <w:spacing w:line="240" w:lineRule="atLeast"/>
    </w:pPr>
    <w:rPr>
      <w:rFonts w:ascii="Franklin Gothic Demi" w:hAnsi="Franklin Gothic Demi"/>
      <w:sz w:val="20"/>
      <w:lang w:val="nl-NL" w:eastAsia="en-GB"/>
    </w:rPr>
  </w:style>
  <w:style w:type="paragraph" w:customStyle="1" w:styleId="TBTekst">
    <w:name w:val="TBTekst"/>
    <w:basedOn w:val="Normal"/>
    <w:rsid w:val="0085417E"/>
    <w:pPr>
      <w:tabs>
        <w:tab w:val="clear" w:pos="9072"/>
      </w:tabs>
      <w:spacing w:line="240" w:lineRule="exact"/>
    </w:pPr>
    <w:rPr>
      <w:rFonts w:ascii="Franklin Gothic Book" w:hAnsi="Franklin Gothic Book"/>
      <w:noProof/>
      <w:color w:val="000000"/>
      <w:sz w:val="20"/>
      <w:lang w:val="nl-NL" w:eastAsia="en-GB"/>
    </w:rPr>
  </w:style>
  <w:style w:type="paragraph" w:customStyle="1" w:styleId="Tekst">
    <w:name w:val="Tekst"/>
    <w:basedOn w:val="Normal"/>
    <w:rsid w:val="0085417E"/>
    <w:pPr>
      <w:tabs>
        <w:tab w:val="clear" w:pos="9072"/>
      </w:tabs>
      <w:spacing w:line="264" w:lineRule="exact"/>
    </w:pPr>
    <w:rPr>
      <w:sz w:val="22"/>
      <w:lang w:val="nl-NL" w:eastAsia="en-GB"/>
    </w:rPr>
  </w:style>
  <w:style w:type="paragraph" w:customStyle="1" w:styleId="Tekstkop">
    <w:name w:val="Tekstkop"/>
    <w:basedOn w:val="Normal"/>
    <w:next w:val="Tekst"/>
    <w:rsid w:val="0085417E"/>
    <w:pPr>
      <w:tabs>
        <w:tab w:val="clear" w:pos="9072"/>
      </w:tabs>
      <w:spacing w:line="240" w:lineRule="atLeast"/>
    </w:pPr>
    <w:rPr>
      <w:b/>
      <w:color w:val="000000"/>
      <w:sz w:val="22"/>
      <w:lang w:val="nl-NL" w:eastAsia="en-GB"/>
    </w:rPr>
  </w:style>
  <w:style w:type="paragraph" w:customStyle="1" w:styleId="TitelP2">
    <w:name w:val="TitelP2"/>
    <w:basedOn w:val="TBKopjes"/>
    <w:rsid w:val="0085417E"/>
  </w:style>
  <w:style w:type="paragraph" w:customStyle="1" w:styleId="TitlePageSpace">
    <w:name w:val="TitlePage Space"/>
    <w:rsid w:val="0085417E"/>
    <w:pPr>
      <w:spacing w:line="400" w:lineRule="atLeast"/>
    </w:pPr>
    <w:rPr>
      <w:rFonts w:ascii="Franklin Gothic Book" w:hAnsi="Franklin Gothic Book"/>
      <w:noProof/>
      <w:sz w:val="28"/>
      <w:lang w:val="en-GB" w:eastAsia="en-GB"/>
    </w:rPr>
  </w:style>
  <w:style w:type="paragraph" w:styleId="ListBullet">
    <w:name w:val="List Bullet"/>
    <w:basedOn w:val="Normal"/>
    <w:autoRedefine/>
    <w:rsid w:val="0085417E"/>
    <w:pPr>
      <w:tabs>
        <w:tab w:val="clear" w:pos="9072"/>
        <w:tab w:val="num" w:pos="357"/>
      </w:tabs>
      <w:spacing w:line="240" w:lineRule="atLeast"/>
      <w:ind w:left="357" w:hanging="357"/>
    </w:pPr>
    <w:rPr>
      <w:sz w:val="22"/>
      <w:lang w:val="nl-NL" w:eastAsia="en-GB"/>
    </w:rPr>
  </w:style>
  <w:style w:type="paragraph" w:customStyle="1" w:styleId="StyleCaptionCentered">
    <w:name w:val="Style Caption + Centered"/>
    <w:basedOn w:val="Caption"/>
    <w:next w:val="Normal"/>
    <w:rsid w:val="00DA3F3B"/>
    <w:pPr>
      <w:tabs>
        <w:tab w:val="clear" w:pos="9072"/>
        <w:tab w:val="left" w:pos="964"/>
      </w:tabs>
      <w:spacing w:after="0" w:line="480" w:lineRule="auto"/>
    </w:pPr>
    <w:rPr>
      <w:b/>
      <w:bCs/>
      <w:i w:val="0"/>
      <w:sz w:val="20"/>
      <w:lang w:val="en-US"/>
    </w:rPr>
  </w:style>
  <w:style w:type="paragraph" w:customStyle="1" w:styleId="MTDisplayEquation">
    <w:name w:val="MTDisplayEquation"/>
    <w:basedOn w:val="Equation"/>
    <w:next w:val="Normal"/>
    <w:rsid w:val="001E0B36"/>
    <w:pPr>
      <w:shd w:val="clear" w:color="auto" w:fill="FFFF00"/>
      <w:tabs>
        <w:tab w:val="clear" w:pos="9072"/>
        <w:tab w:val="right" w:pos="9080"/>
      </w:tabs>
    </w:pPr>
    <w:rPr>
      <w:lang w:val="en-GB"/>
    </w:rPr>
  </w:style>
  <w:style w:type="paragraph" w:customStyle="1" w:styleId="references0">
    <w:name w:val="references"/>
    <w:basedOn w:val="Normal"/>
    <w:rsid w:val="00F63E0A"/>
  </w:style>
  <w:style w:type="paragraph" w:customStyle="1" w:styleId="References">
    <w:name w:val="References"/>
    <w:basedOn w:val="Normal"/>
    <w:rsid w:val="005E2186"/>
    <w:pPr>
      <w:numPr>
        <w:numId w:val="2"/>
      </w:numPr>
    </w:pPr>
  </w:style>
  <w:style w:type="character" w:customStyle="1" w:styleId="BodyTextChar">
    <w:name w:val="Body Text Char"/>
    <w:basedOn w:val="DefaultParagraphFont"/>
    <w:link w:val="BodyText"/>
    <w:rsid w:val="00382ABC"/>
    <w:rPr>
      <w:sz w:val="24"/>
      <w:lang w:val="en-GB" w:eastAsia="en-US" w:bidi="ar-SA"/>
    </w:rPr>
  </w:style>
  <w:style w:type="paragraph" w:styleId="Subtitle">
    <w:name w:val="Subtitle"/>
    <w:basedOn w:val="Normal"/>
    <w:next w:val="Normal"/>
    <w:link w:val="SubtitleChar"/>
    <w:qFormat/>
    <w:rsid w:val="00BC6FB1"/>
    <w:pPr>
      <w:spacing w:after="60"/>
      <w:jc w:val="center"/>
      <w:outlineLvl w:val="1"/>
    </w:pPr>
    <w:rPr>
      <w:rFonts w:asciiTheme="majorHAnsi" w:eastAsiaTheme="majorEastAsia" w:hAnsiTheme="majorHAnsi" w:cstheme="majorBidi"/>
      <w:szCs w:val="24"/>
    </w:rPr>
  </w:style>
  <w:style w:type="character" w:customStyle="1" w:styleId="SubtitleChar">
    <w:name w:val="Subtitle Char"/>
    <w:basedOn w:val="DefaultParagraphFont"/>
    <w:link w:val="Subtitle"/>
    <w:rsid w:val="00BC6FB1"/>
    <w:rPr>
      <w:rFonts w:asciiTheme="majorHAnsi" w:eastAsiaTheme="majorEastAsia" w:hAnsiTheme="majorHAnsi" w:cstheme="majorBidi"/>
      <w:sz w:val="24"/>
      <w:szCs w:val="24"/>
      <w:lang w:val="en-GB"/>
    </w:rPr>
  </w:style>
  <w:style w:type="paragraph" w:styleId="ListParagraph">
    <w:name w:val="List Paragraph"/>
    <w:basedOn w:val="Normal"/>
    <w:uiPriority w:val="34"/>
    <w:qFormat/>
    <w:rsid w:val="00D2372C"/>
    <w:pPr>
      <w:ind w:left="720"/>
      <w:contextualSpacing/>
    </w:pPr>
  </w:style>
  <w:style w:type="paragraph" w:styleId="BalloonText">
    <w:name w:val="Balloon Text"/>
    <w:basedOn w:val="Normal"/>
    <w:link w:val="BalloonTextChar"/>
    <w:rsid w:val="0035356D"/>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35356D"/>
    <w:rPr>
      <w:rFonts w:ascii="Tahoma" w:hAnsi="Tahoma" w:cs="Tahoma"/>
      <w:sz w:val="16"/>
      <w:szCs w:val="16"/>
      <w:lang w:val="en-GB"/>
    </w:rPr>
  </w:style>
  <w:style w:type="paragraph" w:styleId="BodyText3">
    <w:name w:val="Body Text 3"/>
    <w:basedOn w:val="Normal"/>
    <w:link w:val="BodyText3Char"/>
    <w:rsid w:val="00EF402E"/>
    <w:pPr>
      <w:spacing w:after="120"/>
    </w:pPr>
    <w:rPr>
      <w:sz w:val="16"/>
      <w:szCs w:val="16"/>
    </w:rPr>
  </w:style>
  <w:style w:type="character" w:customStyle="1" w:styleId="BodyText3Char">
    <w:name w:val="Body Text 3 Char"/>
    <w:basedOn w:val="DefaultParagraphFont"/>
    <w:link w:val="BodyText3"/>
    <w:rsid w:val="00EF402E"/>
    <w:rPr>
      <w:sz w:val="16"/>
      <w:szCs w:val="16"/>
      <w:lang w:val="en-GB"/>
    </w:rPr>
  </w:style>
  <w:style w:type="paragraph" w:styleId="NormalWeb">
    <w:name w:val="Normal (Web)"/>
    <w:basedOn w:val="Normal"/>
    <w:uiPriority w:val="99"/>
    <w:unhideWhenUsed/>
    <w:rsid w:val="007B3043"/>
    <w:pPr>
      <w:tabs>
        <w:tab w:val="clear" w:pos="9072"/>
      </w:tabs>
      <w:spacing w:before="100" w:beforeAutospacing="1" w:after="100" w:afterAutospacing="1" w:line="240" w:lineRule="auto"/>
    </w:pPr>
    <w:rPr>
      <w:szCs w:val="24"/>
      <w:lang w:val="en-US" w:eastAsia="fr-BE"/>
    </w:rPr>
  </w:style>
  <w:style w:type="paragraph" w:customStyle="1" w:styleId="Normal1">
    <w:name w:val="Normal1"/>
    <w:rsid w:val="00921C2C"/>
    <w:pPr>
      <w:suppressAutoHyphens/>
      <w:textAlignment w:val="baseline"/>
    </w:pPr>
    <w:rPr>
      <w:rFonts w:ascii="Liberation Serif" w:eastAsia="WenQuanYi Zen Hei" w:hAnsi="Liberation Serif" w:cs="Lohit Devanagari"/>
      <w:sz w:val="24"/>
      <w:szCs w:val="24"/>
      <w:lang w:eastAsia="zh-CN" w:bidi="hi-IN"/>
    </w:rPr>
  </w:style>
  <w:style w:type="character" w:styleId="CommentReference">
    <w:name w:val="annotation reference"/>
    <w:basedOn w:val="DefaultParagraphFont"/>
    <w:rsid w:val="001B18C2"/>
    <w:rPr>
      <w:sz w:val="16"/>
      <w:szCs w:val="16"/>
    </w:rPr>
  </w:style>
  <w:style w:type="paragraph" w:styleId="CommentText">
    <w:name w:val="annotation text"/>
    <w:basedOn w:val="Normal"/>
    <w:link w:val="CommentTextChar"/>
    <w:rsid w:val="001B18C2"/>
    <w:pPr>
      <w:spacing w:line="240" w:lineRule="auto"/>
    </w:pPr>
    <w:rPr>
      <w:sz w:val="20"/>
    </w:rPr>
  </w:style>
  <w:style w:type="character" w:customStyle="1" w:styleId="CommentTextChar">
    <w:name w:val="Comment Text Char"/>
    <w:basedOn w:val="DefaultParagraphFont"/>
    <w:link w:val="CommentText"/>
    <w:rsid w:val="001B18C2"/>
    <w:rPr>
      <w:lang w:val="en-GB"/>
    </w:rPr>
  </w:style>
  <w:style w:type="paragraph" w:styleId="CommentSubject">
    <w:name w:val="annotation subject"/>
    <w:basedOn w:val="CommentText"/>
    <w:next w:val="CommentText"/>
    <w:link w:val="CommentSubjectChar"/>
    <w:rsid w:val="001B18C2"/>
    <w:rPr>
      <w:b/>
      <w:bCs/>
    </w:rPr>
  </w:style>
  <w:style w:type="character" w:customStyle="1" w:styleId="CommentSubjectChar">
    <w:name w:val="Comment Subject Char"/>
    <w:basedOn w:val="CommentTextChar"/>
    <w:link w:val="CommentSubject"/>
    <w:rsid w:val="001B18C2"/>
    <w:rPr>
      <w:b/>
      <w:bCs/>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C0103D"/>
    <w:pPr>
      <w:tabs>
        <w:tab w:val="right" w:pos="9072"/>
      </w:tabs>
      <w:spacing w:line="310" w:lineRule="atLeast"/>
    </w:pPr>
    <w:rPr>
      <w:sz w:val="24"/>
      <w:lang w:val="en-GB"/>
    </w:rPr>
  </w:style>
  <w:style w:type="paragraph" w:styleId="Titolo1">
    <w:name w:val="heading 1"/>
    <w:basedOn w:val="Normale"/>
    <w:next w:val="Normale"/>
    <w:uiPriority w:val="9"/>
    <w:qFormat/>
    <w:rsid w:val="00CF21F6"/>
    <w:pPr>
      <w:keepNext/>
      <w:numPr>
        <w:numId w:val="1"/>
      </w:numPr>
      <w:tabs>
        <w:tab w:val="clear" w:pos="612"/>
        <w:tab w:val="num" w:pos="432"/>
      </w:tabs>
      <w:spacing w:before="480" w:after="60" w:line="280" w:lineRule="atLeast"/>
      <w:ind w:left="432"/>
      <w:outlineLvl w:val="0"/>
    </w:pPr>
    <w:rPr>
      <w:b/>
      <w:caps/>
      <w:kern w:val="28"/>
      <w:sz w:val="28"/>
    </w:rPr>
  </w:style>
  <w:style w:type="paragraph" w:styleId="Titolo2">
    <w:name w:val="heading 2"/>
    <w:basedOn w:val="Normale"/>
    <w:next w:val="Normale"/>
    <w:autoRedefine/>
    <w:uiPriority w:val="9"/>
    <w:qFormat/>
    <w:rsid w:val="00DA5771"/>
    <w:pPr>
      <w:keepNext/>
      <w:numPr>
        <w:ilvl w:val="1"/>
        <w:numId w:val="1"/>
      </w:numPr>
      <w:spacing w:before="240" w:after="60" w:line="340" w:lineRule="atLeast"/>
      <w:outlineLvl w:val="1"/>
    </w:pPr>
    <w:rPr>
      <w:b/>
      <w:sz w:val="28"/>
    </w:rPr>
  </w:style>
  <w:style w:type="paragraph" w:styleId="Titolo3">
    <w:name w:val="heading 3"/>
    <w:basedOn w:val="Normale"/>
    <w:next w:val="Normale"/>
    <w:autoRedefine/>
    <w:uiPriority w:val="9"/>
    <w:qFormat/>
    <w:rsid w:val="001E0B36"/>
    <w:pPr>
      <w:keepNext/>
      <w:numPr>
        <w:ilvl w:val="2"/>
        <w:numId w:val="1"/>
      </w:numPr>
      <w:tabs>
        <w:tab w:val="clear" w:pos="9072"/>
        <w:tab w:val="left" w:pos="652"/>
        <w:tab w:val="left" w:pos="822"/>
      </w:tabs>
      <w:spacing w:before="120" w:after="60" w:line="340" w:lineRule="atLeast"/>
      <w:outlineLvl w:val="2"/>
    </w:pPr>
    <w:rPr>
      <w:b/>
    </w:rPr>
  </w:style>
  <w:style w:type="paragraph" w:styleId="Titolo4">
    <w:name w:val="heading 4"/>
    <w:basedOn w:val="Normale"/>
    <w:next w:val="Normale"/>
    <w:autoRedefine/>
    <w:uiPriority w:val="9"/>
    <w:qFormat/>
    <w:rsid w:val="003E5914"/>
    <w:pPr>
      <w:keepNext/>
      <w:numPr>
        <w:ilvl w:val="3"/>
        <w:numId w:val="1"/>
      </w:numPr>
      <w:spacing w:before="240" w:after="60"/>
      <w:outlineLvl w:val="3"/>
    </w:pPr>
    <w:rPr>
      <w:b/>
    </w:rPr>
  </w:style>
  <w:style w:type="paragraph" w:styleId="Titolo5">
    <w:name w:val="heading 5"/>
    <w:basedOn w:val="Normale"/>
    <w:next w:val="Normale"/>
    <w:uiPriority w:val="9"/>
    <w:qFormat/>
    <w:rsid w:val="003E5914"/>
    <w:pPr>
      <w:numPr>
        <w:ilvl w:val="4"/>
        <w:numId w:val="1"/>
      </w:numPr>
      <w:spacing w:before="240" w:after="60"/>
      <w:outlineLvl w:val="4"/>
    </w:pPr>
    <w:rPr>
      <w:sz w:val="22"/>
    </w:rPr>
  </w:style>
  <w:style w:type="paragraph" w:styleId="Titolo6">
    <w:name w:val="heading 6"/>
    <w:basedOn w:val="Normale"/>
    <w:next w:val="Normale"/>
    <w:uiPriority w:val="9"/>
    <w:qFormat/>
    <w:rsid w:val="003E5914"/>
    <w:pPr>
      <w:numPr>
        <w:ilvl w:val="5"/>
        <w:numId w:val="1"/>
      </w:numPr>
      <w:spacing w:before="240" w:after="60"/>
      <w:outlineLvl w:val="5"/>
    </w:pPr>
    <w:rPr>
      <w:i/>
      <w:sz w:val="22"/>
    </w:rPr>
  </w:style>
  <w:style w:type="paragraph" w:styleId="Titolo7">
    <w:name w:val="heading 7"/>
    <w:basedOn w:val="Normale"/>
    <w:next w:val="Normale"/>
    <w:uiPriority w:val="9"/>
    <w:qFormat/>
    <w:rsid w:val="003E5914"/>
    <w:pPr>
      <w:numPr>
        <w:ilvl w:val="6"/>
        <w:numId w:val="1"/>
      </w:numPr>
      <w:spacing w:before="240" w:after="60"/>
      <w:outlineLvl w:val="6"/>
    </w:pPr>
    <w:rPr>
      <w:rFonts w:ascii="Arial" w:hAnsi="Arial"/>
      <w:sz w:val="20"/>
    </w:rPr>
  </w:style>
  <w:style w:type="paragraph" w:styleId="Titolo8">
    <w:name w:val="heading 8"/>
    <w:basedOn w:val="Normale"/>
    <w:next w:val="Normale"/>
    <w:uiPriority w:val="9"/>
    <w:qFormat/>
    <w:rsid w:val="003E5914"/>
    <w:pPr>
      <w:numPr>
        <w:ilvl w:val="7"/>
        <w:numId w:val="1"/>
      </w:numPr>
      <w:spacing w:before="240" w:after="60"/>
      <w:outlineLvl w:val="7"/>
    </w:pPr>
    <w:rPr>
      <w:rFonts w:ascii="Arial" w:hAnsi="Arial"/>
      <w:i/>
      <w:sz w:val="20"/>
    </w:rPr>
  </w:style>
  <w:style w:type="paragraph" w:styleId="Titolo9">
    <w:name w:val="heading 9"/>
    <w:basedOn w:val="Normale"/>
    <w:next w:val="Normale"/>
    <w:uiPriority w:val="9"/>
    <w:qFormat/>
    <w:rsid w:val="003E5914"/>
    <w:pPr>
      <w:numPr>
        <w:ilvl w:val="8"/>
        <w:numId w:val="1"/>
      </w:numPr>
      <w:spacing w:before="240" w:after="60"/>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semiHidden/>
    <w:rsid w:val="003E5914"/>
    <w:pPr>
      <w:tabs>
        <w:tab w:val="clear" w:pos="9072"/>
        <w:tab w:val="left" w:pos="480"/>
        <w:tab w:val="right" w:pos="9060"/>
      </w:tabs>
      <w:spacing w:before="120"/>
    </w:pPr>
    <w:rPr>
      <w:b/>
      <w:caps/>
      <w:noProof/>
    </w:rPr>
  </w:style>
  <w:style w:type="paragraph" w:styleId="Sommario2">
    <w:name w:val="toc 2"/>
    <w:basedOn w:val="Normale"/>
    <w:next w:val="Normale"/>
    <w:autoRedefine/>
    <w:semiHidden/>
    <w:rsid w:val="003E5914"/>
    <w:rPr>
      <w:noProof/>
    </w:rPr>
  </w:style>
  <w:style w:type="paragraph" w:styleId="Sommario3">
    <w:name w:val="toc 3"/>
    <w:basedOn w:val="Normale"/>
    <w:next w:val="Normale"/>
    <w:autoRedefine/>
    <w:semiHidden/>
    <w:rsid w:val="003E5914"/>
    <w:pPr>
      <w:tabs>
        <w:tab w:val="left" w:pos="1200"/>
      </w:tabs>
      <w:spacing w:line="280" w:lineRule="exact"/>
      <w:ind w:left="238"/>
    </w:pPr>
    <w:rPr>
      <w:noProof/>
      <w:sz w:val="22"/>
    </w:rPr>
  </w:style>
  <w:style w:type="paragraph" w:styleId="Sommario4">
    <w:name w:val="toc 4"/>
    <w:basedOn w:val="Normale"/>
    <w:next w:val="Normale"/>
    <w:autoRedefine/>
    <w:semiHidden/>
    <w:rsid w:val="003E5914"/>
    <w:pPr>
      <w:ind w:left="480"/>
    </w:pPr>
    <w:rPr>
      <w:sz w:val="20"/>
    </w:rPr>
  </w:style>
  <w:style w:type="paragraph" w:styleId="Sommario5">
    <w:name w:val="toc 5"/>
    <w:basedOn w:val="Normale"/>
    <w:next w:val="Normale"/>
    <w:autoRedefine/>
    <w:semiHidden/>
    <w:rsid w:val="003E5914"/>
    <w:pPr>
      <w:ind w:left="720"/>
    </w:pPr>
    <w:rPr>
      <w:sz w:val="20"/>
    </w:rPr>
  </w:style>
  <w:style w:type="paragraph" w:styleId="Sommario6">
    <w:name w:val="toc 6"/>
    <w:basedOn w:val="Normale"/>
    <w:next w:val="Normale"/>
    <w:autoRedefine/>
    <w:semiHidden/>
    <w:rsid w:val="003E5914"/>
    <w:pPr>
      <w:ind w:left="960"/>
    </w:pPr>
    <w:rPr>
      <w:sz w:val="20"/>
    </w:rPr>
  </w:style>
  <w:style w:type="paragraph" w:styleId="Sommario7">
    <w:name w:val="toc 7"/>
    <w:basedOn w:val="Normale"/>
    <w:next w:val="Normale"/>
    <w:autoRedefine/>
    <w:semiHidden/>
    <w:rsid w:val="003E5914"/>
    <w:pPr>
      <w:ind w:left="1200"/>
    </w:pPr>
    <w:rPr>
      <w:sz w:val="20"/>
    </w:rPr>
  </w:style>
  <w:style w:type="paragraph" w:styleId="Sommario8">
    <w:name w:val="toc 8"/>
    <w:basedOn w:val="Normale"/>
    <w:next w:val="Normale"/>
    <w:autoRedefine/>
    <w:semiHidden/>
    <w:rsid w:val="003E5914"/>
    <w:pPr>
      <w:ind w:left="1440"/>
    </w:pPr>
    <w:rPr>
      <w:sz w:val="20"/>
    </w:rPr>
  </w:style>
  <w:style w:type="paragraph" w:styleId="Sommario9">
    <w:name w:val="toc 9"/>
    <w:basedOn w:val="Normale"/>
    <w:next w:val="Normale"/>
    <w:autoRedefine/>
    <w:semiHidden/>
    <w:rsid w:val="003E5914"/>
    <w:pPr>
      <w:ind w:left="1680"/>
    </w:pPr>
    <w:rPr>
      <w:sz w:val="20"/>
    </w:rPr>
  </w:style>
  <w:style w:type="paragraph" w:styleId="Intestazione">
    <w:name w:val="header"/>
    <w:basedOn w:val="Normale"/>
    <w:rsid w:val="003E5914"/>
    <w:pPr>
      <w:tabs>
        <w:tab w:val="center" w:pos="4153"/>
        <w:tab w:val="right" w:pos="8306"/>
      </w:tabs>
    </w:pPr>
  </w:style>
  <w:style w:type="paragraph" w:styleId="Pidipagina">
    <w:name w:val="footer"/>
    <w:basedOn w:val="Normale"/>
    <w:rsid w:val="003E5914"/>
    <w:pPr>
      <w:tabs>
        <w:tab w:val="center" w:pos="4153"/>
        <w:tab w:val="right" w:pos="8306"/>
      </w:tabs>
    </w:pPr>
  </w:style>
  <w:style w:type="character" w:styleId="Numeropagina">
    <w:name w:val="page number"/>
    <w:basedOn w:val="Carpredefinitoparagrafo"/>
    <w:rsid w:val="003E5914"/>
  </w:style>
  <w:style w:type="paragraph" w:styleId="Mappadocumento">
    <w:name w:val="Document Map"/>
    <w:basedOn w:val="Normale"/>
    <w:semiHidden/>
    <w:rsid w:val="003E5914"/>
    <w:pPr>
      <w:shd w:val="clear" w:color="auto" w:fill="000080"/>
    </w:pPr>
    <w:rPr>
      <w:rFonts w:ascii="Tahoma" w:hAnsi="Tahoma"/>
    </w:rPr>
  </w:style>
  <w:style w:type="paragraph" w:styleId="Didascalia">
    <w:name w:val="caption"/>
    <w:basedOn w:val="Normale"/>
    <w:next w:val="Corpotesto"/>
    <w:qFormat/>
    <w:rsid w:val="00B36D18"/>
    <w:pPr>
      <w:spacing w:after="240"/>
    </w:pPr>
    <w:rPr>
      <w:i/>
    </w:rPr>
  </w:style>
  <w:style w:type="paragraph" w:styleId="Titolo">
    <w:name w:val="Title"/>
    <w:basedOn w:val="Normale"/>
    <w:qFormat/>
    <w:rsid w:val="003E5914"/>
    <w:pPr>
      <w:spacing w:before="240" w:after="60" w:line="280" w:lineRule="atLeast"/>
      <w:outlineLvl w:val="0"/>
    </w:pPr>
    <w:rPr>
      <w:b/>
      <w:caps/>
      <w:kern w:val="28"/>
      <w:sz w:val="28"/>
    </w:rPr>
  </w:style>
  <w:style w:type="paragraph" w:customStyle="1" w:styleId="titel-algemeen">
    <w:name w:val="titel-algemeen"/>
    <w:basedOn w:val="Normale"/>
    <w:next w:val="Normale"/>
    <w:autoRedefine/>
    <w:rsid w:val="003E5914"/>
    <w:pPr>
      <w:spacing w:before="240" w:after="240" w:line="280" w:lineRule="atLeast"/>
    </w:pPr>
    <w:rPr>
      <w:b/>
      <w:caps/>
      <w:sz w:val="28"/>
    </w:rPr>
  </w:style>
  <w:style w:type="paragraph" w:styleId="Corpotesto">
    <w:name w:val="Body Text"/>
    <w:basedOn w:val="Normale"/>
    <w:link w:val="CorpotestoCarattere"/>
    <w:rsid w:val="00382ABC"/>
    <w:pPr>
      <w:tabs>
        <w:tab w:val="right" w:pos="8505"/>
      </w:tabs>
      <w:spacing w:after="120" w:line="340" w:lineRule="exact"/>
    </w:pPr>
  </w:style>
  <w:style w:type="paragraph" w:customStyle="1" w:styleId="Appendix2">
    <w:name w:val="Appendix2"/>
    <w:basedOn w:val="Corpotesto"/>
    <w:next w:val="Corpotesto"/>
    <w:rsid w:val="003E5914"/>
    <w:pPr>
      <w:tabs>
        <w:tab w:val="clear" w:pos="8505"/>
        <w:tab w:val="num" w:pos="576"/>
      </w:tabs>
      <w:ind w:left="576" w:hanging="576"/>
    </w:pPr>
    <w:rPr>
      <w:b/>
    </w:rPr>
  </w:style>
  <w:style w:type="paragraph" w:customStyle="1" w:styleId="Appendix1">
    <w:name w:val="Appendix1"/>
    <w:basedOn w:val="Normale"/>
    <w:next w:val="Corpotesto"/>
    <w:rsid w:val="00BD1D16"/>
    <w:pPr>
      <w:tabs>
        <w:tab w:val="left" w:pos="1191"/>
        <w:tab w:val="num" w:pos="1440"/>
      </w:tabs>
      <w:spacing w:after="340" w:line="240" w:lineRule="auto"/>
      <w:ind w:left="1418" w:hanging="1418"/>
      <w:jc w:val="both"/>
      <w:outlineLvl w:val="0"/>
    </w:pPr>
    <w:rPr>
      <w:b/>
      <w:sz w:val="28"/>
    </w:rPr>
  </w:style>
  <w:style w:type="paragraph" w:styleId="Puntoelenco2">
    <w:name w:val="List Bullet 2"/>
    <w:basedOn w:val="Normale"/>
    <w:autoRedefine/>
    <w:rsid w:val="003E5914"/>
    <w:pPr>
      <w:tabs>
        <w:tab w:val="num" w:pos="720"/>
      </w:tabs>
      <w:spacing w:line="340" w:lineRule="atLeast"/>
      <w:ind w:left="720" w:hanging="360"/>
      <w:jc w:val="both"/>
    </w:pPr>
    <w:rPr>
      <w:sz w:val="22"/>
    </w:rPr>
  </w:style>
  <w:style w:type="character" w:customStyle="1" w:styleId="MTEquationSection">
    <w:name w:val="MTEquationSection"/>
    <w:basedOn w:val="Carpredefinitoparagrafo"/>
    <w:rsid w:val="003E5914"/>
    <w:rPr>
      <w:vanish/>
      <w:color w:val="FF0000"/>
    </w:rPr>
  </w:style>
  <w:style w:type="character" w:styleId="Collegamentoipertestuale">
    <w:name w:val="Hyperlink"/>
    <w:basedOn w:val="Carpredefinitoparagrafo"/>
    <w:rsid w:val="009E7ED6"/>
    <w:rPr>
      <w:color w:val="0000FF"/>
      <w:u w:val="single"/>
    </w:rPr>
  </w:style>
  <w:style w:type="paragraph" w:customStyle="1" w:styleId="nomenclature">
    <w:name w:val="nomenclature"/>
    <w:basedOn w:val="Normale"/>
    <w:rsid w:val="003E5914"/>
    <w:pPr>
      <w:tabs>
        <w:tab w:val="clear" w:pos="9072"/>
        <w:tab w:val="left" w:pos="1134"/>
      </w:tabs>
      <w:spacing w:line="340" w:lineRule="exact"/>
    </w:pPr>
  </w:style>
  <w:style w:type="paragraph" w:customStyle="1" w:styleId="Equation">
    <w:name w:val="Equation"/>
    <w:basedOn w:val="Corpotesto"/>
    <w:next w:val="Corpotesto"/>
    <w:rsid w:val="007D4E0A"/>
    <w:pPr>
      <w:tabs>
        <w:tab w:val="clear" w:pos="8505"/>
        <w:tab w:val="center" w:pos="4253"/>
      </w:tabs>
      <w:spacing w:line="340" w:lineRule="atLeast"/>
      <w:contextualSpacing/>
    </w:pPr>
    <w:rPr>
      <w:lang w:val="en-US"/>
    </w:rPr>
  </w:style>
  <w:style w:type="paragraph" w:customStyle="1" w:styleId="TitlePageClassification">
    <w:name w:val="TitlePage Classification"/>
    <w:next w:val="TitlepageReportNumber"/>
    <w:rsid w:val="0085417E"/>
    <w:pPr>
      <w:spacing w:line="340" w:lineRule="exact"/>
      <w:ind w:left="-567"/>
    </w:pPr>
    <w:rPr>
      <w:rFonts w:ascii="Franklin Gothic Book" w:hAnsi="Franklin Gothic Book"/>
      <w:noProof/>
      <w:sz w:val="24"/>
      <w:szCs w:val="24"/>
      <w:lang w:val="en-GB" w:eastAsia="en-GB"/>
    </w:rPr>
  </w:style>
  <w:style w:type="paragraph" w:customStyle="1" w:styleId="TitlepageReportNumber">
    <w:name w:val="Titlepage ReportNumber"/>
    <w:rsid w:val="0085417E"/>
    <w:pPr>
      <w:spacing w:line="340" w:lineRule="exact"/>
      <w:ind w:left="-567"/>
    </w:pPr>
    <w:rPr>
      <w:rFonts w:ascii="Franklin Gothic Book" w:hAnsi="Franklin Gothic Book"/>
      <w:noProof/>
      <w:sz w:val="24"/>
      <w:lang w:val="en-GB" w:eastAsia="en-GB"/>
    </w:rPr>
  </w:style>
  <w:style w:type="paragraph" w:customStyle="1" w:styleId="TitlePageReportTitle">
    <w:name w:val="TitlePage ReportTitle"/>
    <w:basedOn w:val="Intestazione"/>
    <w:rsid w:val="0085417E"/>
    <w:pPr>
      <w:tabs>
        <w:tab w:val="clear" w:pos="4153"/>
        <w:tab w:val="clear" w:pos="8306"/>
        <w:tab w:val="clear" w:pos="9072"/>
      </w:tabs>
      <w:spacing w:line="480" w:lineRule="atLeast"/>
    </w:pPr>
    <w:rPr>
      <w:rFonts w:ascii="Franklin Gothic Demi" w:hAnsi="Franklin Gothic Demi"/>
      <w:b/>
      <w:noProof/>
      <w:sz w:val="36"/>
      <w:lang w:val="nl-NL" w:eastAsia="en-GB"/>
    </w:rPr>
  </w:style>
  <w:style w:type="paragraph" w:customStyle="1" w:styleId="TitlePageSubTitle">
    <w:name w:val="TitlePage SubTitle"/>
    <w:rsid w:val="0085417E"/>
    <w:pPr>
      <w:spacing w:line="480" w:lineRule="atLeast"/>
    </w:pPr>
    <w:rPr>
      <w:rFonts w:ascii="Franklin Gothic Book" w:hAnsi="Franklin Gothic Book"/>
      <w:noProof/>
      <w:sz w:val="32"/>
      <w:lang w:val="en-GB" w:eastAsia="en-GB"/>
    </w:rPr>
  </w:style>
  <w:style w:type="character" w:customStyle="1" w:styleId="TilePageCompanyChar">
    <w:name w:val="TilePage Company Char"/>
    <w:basedOn w:val="TitlePageAuthorChar"/>
    <w:rsid w:val="0085417E"/>
    <w:rPr>
      <w:rFonts w:ascii="Franklin Gothic Book" w:hAnsi="Franklin Gothic Book"/>
      <w:noProof/>
      <w:sz w:val="22"/>
      <w:lang w:val="en-GB" w:eastAsia="en-GB" w:bidi="ar-SA"/>
    </w:rPr>
  </w:style>
  <w:style w:type="character" w:customStyle="1" w:styleId="TitlePageAuthorChar">
    <w:name w:val="TitlePage Author Char"/>
    <w:basedOn w:val="Carpredefinitoparagrafo"/>
    <w:rsid w:val="0085417E"/>
    <w:rPr>
      <w:rFonts w:ascii="Franklin Gothic Book" w:hAnsi="Franklin Gothic Book"/>
      <w:noProof/>
      <w:sz w:val="28"/>
      <w:lang w:val="en-GB" w:eastAsia="en-GB" w:bidi="ar-SA"/>
    </w:rPr>
  </w:style>
  <w:style w:type="paragraph" w:customStyle="1" w:styleId="TitlePageAuthor">
    <w:name w:val="TitlePage Author"/>
    <w:rsid w:val="0085417E"/>
    <w:pPr>
      <w:spacing w:line="340" w:lineRule="atLeast"/>
    </w:pPr>
    <w:rPr>
      <w:rFonts w:ascii="Franklin Gothic Book" w:hAnsi="Franklin Gothic Book"/>
      <w:noProof/>
      <w:sz w:val="28"/>
      <w:lang w:val="en-GB" w:eastAsia="en-GB"/>
    </w:rPr>
  </w:style>
  <w:style w:type="paragraph" w:customStyle="1" w:styleId="BodyTextFirstPage">
    <w:name w:val="Body Text First Page"/>
    <w:basedOn w:val="Corpotesto"/>
    <w:rsid w:val="0085417E"/>
    <w:pPr>
      <w:tabs>
        <w:tab w:val="clear" w:pos="8505"/>
        <w:tab w:val="clear" w:pos="9072"/>
        <w:tab w:val="left" w:pos="2694"/>
      </w:tabs>
      <w:spacing w:line="280" w:lineRule="atLeast"/>
    </w:pPr>
    <w:rPr>
      <w:sz w:val="18"/>
      <w:lang w:val="nl-NL" w:eastAsia="en-GB"/>
    </w:rPr>
  </w:style>
  <w:style w:type="paragraph" w:customStyle="1" w:styleId="FirstPageText">
    <w:name w:val="FirstPageText"/>
    <w:basedOn w:val="BodyTextFirstPage"/>
    <w:rsid w:val="0085417E"/>
    <w:pPr>
      <w:tabs>
        <w:tab w:val="clear" w:pos="2694"/>
        <w:tab w:val="left" w:pos="1985"/>
      </w:tabs>
      <w:spacing w:line="240" w:lineRule="atLeast"/>
      <w:ind w:right="-499"/>
    </w:pPr>
  </w:style>
  <w:style w:type="paragraph" w:customStyle="1" w:styleId="Koppen">
    <w:name w:val="Koppen"/>
    <w:next w:val="Corpotesto"/>
    <w:link w:val="KoppenChar"/>
    <w:rsid w:val="0085417E"/>
    <w:pPr>
      <w:keepNext/>
      <w:spacing w:after="340" w:line="340" w:lineRule="atLeast"/>
    </w:pPr>
    <w:rPr>
      <w:rFonts w:ascii="Franklin Gothic Demi" w:hAnsi="Franklin Gothic Demi"/>
      <w:sz w:val="28"/>
      <w:lang w:val="nl-NL" w:eastAsia="en-GB"/>
    </w:rPr>
  </w:style>
  <w:style w:type="character" w:customStyle="1" w:styleId="KoppenChar">
    <w:name w:val="Koppen Char"/>
    <w:basedOn w:val="Carpredefinitoparagrafo"/>
    <w:link w:val="Koppen"/>
    <w:rsid w:val="0085417E"/>
    <w:rPr>
      <w:rFonts w:ascii="Franklin Gothic Demi" w:hAnsi="Franklin Gothic Demi"/>
      <w:sz w:val="28"/>
      <w:lang w:val="nl-NL" w:eastAsia="en-GB" w:bidi="ar-SA"/>
    </w:rPr>
  </w:style>
  <w:style w:type="paragraph" w:customStyle="1" w:styleId="Extra">
    <w:name w:val="Extra"/>
    <w:basedOn w:val="Normale"/>
    <w:next w:val="Corpotesto"/>
    <w:link w:val="ExtraChar"/>
    <w:rsid w:val="0085417E"/>
    <w:pPr>
      <w:keepNext/>
      <w:tabs>
        <w:tab w:val="clear" w:pos="9072"/>
      </w:tabs>
      <w:spacing w:after="340" w:line="340" w:lineRule="atLeast"/>
      <w:outlineLvl w:val="0"/>
    </w:pPr>
    <w:rPr>
      <w:rFonts w:ascii="Franklin Gothic Demi" w:hAnsi="Franklin Gothic Demi"/>
      <w:sz w:val="28"/>
      <w:lang w:val="nl-NL" w:eastAsia="en-GB"/>
    </w:rPr>
  </w:style>
  <w:style w:type="character" w:customStyle="1" w:styleId="ExtraChar">
    <w:name w:val="Extra Char"/>
    <w:basedOn w:val="Carpredefinitoparagrafo"/>
    <w:link w:val="Extra"/>
    <w:rsid w:val="0085417E"/>
    <w:rPr>
      <w:rFonts w:ascii="Franklin Gothic Demi" w:hAnsi="Franklin Gothic Demi"/>
      <w:sz w:val="28"/>
      <w:lang w:val="nl-NL" w:eastAsia="en-GB" w:bidi="ar-SA"/>
    </w:rPr>
  </w:style>
  <w:style w:type="paragraph" w:customStyle="1" w:styleId="Headertekst">
    <w:name w:val="Header tekst"/>
    <w:rsid w:val="0085417E"/>
    <w:pPr>
      <w:spacing w:line="300" w:lineRule="atLeast"/>
      <w:ind w:left="-567"/>
    </w:pPr>
    <w:rPr>
      <w:rFonts w:ascii="Franklin Gothic Book" w:hAnsi="Franklin Gothic Book"/>
      <w:sz w:val="16"/>
      <w:lang w:eastAsia="en-GB"/>
    </w:rPr>
  </w:style>
  <w:style w:type="paragraph" w:customStyle="1" w:styleId="TilePageCompany">
    <w:name w:val="TilePage Company"/>
    <w:basedOn w:val="TitlePageAuthor"/>
    <w:rsid w:val="0085417E"/>
    <w:rPr>
      <w:sz w:val="22"/>
    </w:rPr>
  </w:style>
  <w:style w:type="paragraph" w:customStyle="1" w:styleId="BodyTextHangingIndent">
    <w:name w:val="Body Text Hanging Indent"/>
    <w:basedOn w:val="Corpotesto"/>
    <w:next w:val="Corpotesto"/>
    <w:rsid w:val="0085417E"/>
    <w:pPr>
      <w:tabs>
        <w:tab w:val="clear" w:pos="8505"/>
        <w:tab w:val="clear" w:pos="9072"/>
      </w:tabs>
      <w:spacing w:line="340" w:lineRule="atLeast"/>
      <w:ind w:left="357" w:hanging="357"/>
    </w:pPr>
    <w:rPr>
      <w:sz w:val="22"/>
      <w:lang w:val="nl-NL" w:eastAsia="en-GB"/>
    </w:rPr>
  </w:style>
  <w:style w:type="paragraph" w:customStyle="1" w:styleId="BodyTextHangingIndent2">
    <w:name w:val="Body Text Hanging Indent2"/>
    <w:basedOn w:val="Corpotesto"/>
    <w:next w:val="Corpotesto"/>
    <w:rsid w:val="0085417E"/>
    <w:pPr>
      <w:tabs>
        <w:tab w:val="clear" w:pos="8505"/>
        <w:tab w:val="clear" w:pos="9072"/>
      </w:tabs>
      <w:spacing w:line="340" w:lineRule="atLeast"/>
      <w:ind w:left="714" w:hanging="357"/>
    </w:pPr>
    <w:rPr>
      <w:sz w:val="22"/>
      <w:lang w:val="nl-NL" w:eastAsia="en-GB"/>
    </w:rPr>
  </w:style>
  <w:style w:type="paragraph" w:styleId="Rientrocorpodeltesto">
    <w:name w:val="Body Text Indent"/>
    <w:basedOn w:val="Normale"/>
    <w:rsid w:val="0085417E"/>
    <w:pPr>
      <w:tabs>
        <w:tab w:val="clear" w:pos="9072"/>
      </w:tabs>
      <w:spacing w:after="120" w:line="240" w:lineRule="auto"/>
      <w:ind w:left="360"/>
    </w:pPr>
    <w:rPr>
      <w:sz w:val="22"/>
      <w:lang w:val="nl-NL" w:eastAsia="en-GB"/>
    </w:rPr>
  </w:style>
  <w:style w:type="paragraph" w:styleId="Rientrocorpodeltesto2">
    <w:name w:val="Body Text Indent 2"/>
    <w:basedOn w:val="Normale"/>
    <w:rsid w:val="0085417E"/>
    <w:pPr>
      <w:tabs>
        <w:tab w:val="clear" w:pos="9072"/>
      </w:tabs>
      <w:spacing w:line="240" w:lineRule="auto"/>
      <w:ind w:left="924"/>
    </w:pPr>
    <w:rPr>
      <w:sz w:val="22"/>
      <w:lang w:val="nl-NL" w:eastAsia="en-GB"/>
    </w:rPr>
  </w:style>
  <w:style w:type="paragraph" w:customStyle="1" w:styleId="BodyTextSmall">
    <w:name w:val="Body Text Small"/>
    <w:basedOn w:val="BodyTextFirstPage"/>
    <w:rsid w:val="0085417E"/>
    <w:rPr>
      <w:noProof/>
    </w:rPr>
  </w:style>
  <w:style w:type="character" w:styleId="Enfasicorsivo">
    <w:name w:val="Emphasis"/>
    <w:basedOn w:val="Carpredefinitoparagrafo"/>
    <w:qFormat/>
    <w:rsid w:val="0085417E"/>
    <w:rPr>
      <w:i/>
    </w:rPr>
  </w:style>
  <w:style w:type="paragraph" w:customStyle="1" w:styleId="Figuuronderschrift">
    <w:name w:val="Figuuronderschrift"/>
    <w:basedOn w:val="Normale"/>
    <w:rsid w:val="0085417E"/>
    <w:pPr>
      <w:tabs>
        <w:tab w:val="clear" w:pos="9072"/>
      </w:tabs>
      <w:spacing w:line="240" w:lineRule="auto"/>
    </w:pPr>
    <w:rPr>
      <w:rFonts w:ascii="Arial" w:hAnsi="Arial"/>
      <w:i/>
      <w:sz w:val="20"/>
      <w:lang w:val="nl-NL" w:eastAsia="en-GB"/>
    </w:rPr>
  </w:style>
  <w:style w:type="paragraph" w:customStyle="1" w:styleId="FooterRubr">
    <w:name w:val="FooterRubr"/>
    <w:basedOn w:val="Normale"/>
    <w:rsid w:val="0085417E"/>
    <w:pPr>
      <w:tabs>
        <w:tab w:val="clear" w:pos="9072"/>
      </w:tabs>
      <w:spacing w:line="240" w:lineRule="atLeast"/>
    </w:pPr>
    <w:rPr>
      <w:rFonts w:ascii="Franklin Gothic Book" w:hAnsi="Franklin Gothic Book"/>
      <w:noProof/>
      <w:sz w:val="20"/>
      <w:lang w:val="nl-NL" w:eastAsia="en-GB"/>
    </w:rPr>
  </w:style>
  <w:style w:type="paragraph" w:customStyle="1" w:styleId="Headertekst1">
    <w:name w:val="Header tekst1"/>
    <w:basedOn w:val="Corpotesto"/>
    <w:rsid w:val="0085417E"/>
    <w:pPr>
      <w:tabs>
        <w:tab w:val="clear" w:pos="8505"/>
        <w:tab w:val="clear" w:pos="9072"/>
      </w:tabs>
      <w:spacing w:line="240" w:lineRule="auto"/>
    </w:pPr>
    <w:rPr>
      <w:rFonts w:ascii="Franklin Gothic Book" w:hAnsi="Franklin Gothic Book"/>
      <w:sz w:val="18"/>
      <w:lang w:val="en-US" w:eastAsia="en-GB"/>
    </w:rPr>
  </w:style>
  <w:style w:type="paragraph" w:customStyle="1" w:styleId="HeaderRubr">
    <w:name w:val="HeaderRubr"/>
    <w:basedOn w:val="FooterRubr"/>
    <w:rsid w:val="0085417E"/>
    <w:rPr>
      <w:noProof w:val="0"/>
      <w:lang w:val="en-US"/>
    </w:rPr>
  </w:style>
  <w:style w:type="paragraph" w:customStyle="1" w:styleId="kop1">
    <w:name w:val="kop1"/>
    <w:basedOn w:val="Normale"/>
    <w:next w:val="Normale"/>
    <w:rsid w:val="0085417E"/>
    <w:pPr>
      <w:pageBreakBefore/>
      <w:tabs>
        <w:tab w:val="clear" w:pos="9072"/>
      </w:tabs>
      <w:spacing w:line="240" w:lineRule="atLeast"/>
      <w:ind w:right="1106" w:hanging="142"/>
      <w:jc w:val="right"/>
    </w:pPr>
    <w:rPr>
      <w:rFonts w:ascii="Franklin Gothic Demi" w:hAnsi="Franklin Gothic Demi"/>
      <w:b/>
      <w:spacing w:val="2"/>
      <w:lang w:val="nl-NL" w:eastAsia="en-GB"/>
    </w:rPr>
  </w:style>
  <w:style w:type="paragraph" w:customStyle="1" w:styleId="kop2">
    <w:name w:val="kop2"/>
    <w:basedOn w:val="Normale"/>
    <w:next w:val="Normale"/>
    <w:rsid w:val="0085417E"/>
    <w:pPr>
      <w:tabs>
        <w:tab w:val="clear" w:pos="9072"/>
      </w:tabs>
      <w:spacing w:line="240" w:lineRule="atLeast"/>
      <w:ind w:right="1106" w:hanging="425"/>
      <w:jc w:val="right"/>
    </w:pPr>
    <w:rPr>
      <w:rFonts w:ascii="Franklin Gothic Book" w:hAnsi="Franklin Gothic Book"/>
      <w:spacing w:val="4"/>
      <w:lang w:val="nl-NL" w:eastAsia="en-GB"/>
    </w:rPr>
  </w:style>
  <w:style w:type="paragraph" w:customStyle="1" w:styleId="MSReportTitle">
    <w:name w:val="MS ReportTitle"/>
    <w:basedOn w:val="Intestazione"/>
    <w:rsid w:val="0085417E"/>
    <w:pPr>
      <w:tabs>
        <w:tab w:val="clear" w:pos="4153"/>
        <w:tab w:val="clear" w:pos="8306"/>
        <w:tab w:val="clear" w:pos="9072"/>
      </w:tabs>
      <w:spacing w:line="480" w:lineRule="atLeast"/>
    </w:pPr>
    <w:rPr>
      <w:rFonts w:ascii="Franklin Gothic Demi" w:hAnsi="Franklin Gothic Demi"/>
      <w:b/>
      <w:noProof/>
      <w:sz w:val="28"/>
      <w:lang w:val="nl-NL" w:eastAsia="en-GB"/>
    </w:rPr>
  </w:style>
  <w:style w:type="paragraph" w:customStyle="1" w:styleId="MSSubTitle">
    <w:name w:val="MS SubTitle"/>
    <w:rsid w:val="0085417E"/>
    <w:pPr>
      <w:spacing w:line="480" w:lineRule="atLeast"/>
    </w:pPr>
    <w:rPr>
      <w:rFonts w:ascii="Franklin Gothic Book" w:hAnsi="Franklin Gothic Book"/>
      <w:noProof/>
      <w:sz w:val="28"/>
      <w:lang w:val="en-GB" w:eastAsia="en-GB"/>
    </w:rPr>
  </w:style>
  <w:style w:type="paragraph" w:customStyle="1" w:styleId="TBKopjes">
    <w:name w:val="TBKopjes"/>
    <w:basedOn w:val="Normale"/>
    <w:rsid w:val="0085417E"/>
    <w:pPr>
      <w:tabs>
        <w:tab w:val="clear" w:pos="9072"/>
      </w:tabs>
      <w:spacing w:line="240" w:lineRule="atLeast"/>
    </w:pPr>
    <w:rPr>
      <w:rFonts w:ascii="Franklin Gothic Demi" w:hAnsi="Franklin Gothic Demi"/>
      <w:sz w:val="20"/>
      <w:lang w:val="nl-NL" w:eastAsia="en-GB"/>
    </w:rPr>
  </w:style>
  <w:style w:type="paragraph" w:customStyle="1" w:styleId="TBTekst">
    <w:name w:val="TBTekst"/>
    <w:basedOn w:val="Normale"/>
    <w:rsid w:val="0085417E"/>
    <w:pPr>
      <w:tabs>
        <w:tab w:val="clear" w:pos="9072"/>
      </w:tabs>
      <w:spacing w:line="240" w:lineRule="exact"/>
    </w:pPr>
    <w:rPr>
      <w:rFonts w:ascii="Franklin Gothic Book" w:hAnsi="Franklin Gothic Book"/>
      <w:noProof/>
      <w:color w:val="000000"/>
      <w:sz w:val="20"/>
      <w:lang w:val="nl-NL" w:eastAsia="en-GB"/>
    </w:rPr>
  </w:style>
  <w:style w:type="paragraph" w:customStyle="1" w:styleId="Tekst">
    <w:name w:val="Tekst"/>
    <w:basedOn w:val="Normale"/>
    <w:rsid w:val="0085417E"/>
    <w:pPr>
      <w:tabs>
        <w:tab w:val="clear" w:pos="9072"/>
      </w:tabs>
      <w:spacing w:line="264" w:lineRule="exact"/>
    </w:pPr>
    <w:rPr>
      <w:sz w:val="22"/>
      <w:lang w:val="nl-NL" w:eastAsia="en-GB"/>
    </w:rPr>
  </w:style>
  <w:style w:type="paragraph" w:customStyle="1" w:styleId="Tekstkop">
    <w:name w:val="Tekstkop"/>
    <w:basedOn w:val="Normale"/>
    <w:next w:val="Tekst"/>
    <w:rsid w:val="0085417E"/>
    <w:pPr>
      <w:tabs>
        <w:tab w:val="clear" w:pos="9072"/>
      </w:tabs>
      <w:spacing w:line="240" w:lineRule="atLeast"/>
    </w:pPr>
    <w:rPr>
      <w:b/>
      <w:color w:val="000000"/>
      <w:sz w:val="22"/>
      <w:lang w:val="nl-NL" w:eastAsia="en-GB"/>
    </w:rPr>
  </w:style>
  <w:style w:type="paragraph" w:customStyle="1" w:styleId="TitelP2">
    <w:name w:val="TitelP2"/>
    <w:basedOn w:val="TBKopjes"/>
    <w:rsid w:val="0085417E"/>
  </w:style>
  <w:style w:type="paragraph" w:customStyle="1" w:styleId="TitlePageSpace">
    <w:name w:val="TitlePage Space"/>
    <w:rsid w:val="0085417E"/>
    <w:pPr>
      <w:spacing w:line="400" w:lineRule="atLeast"/>
    </w:pPr>
    <w:rPr>
      <w:rFonts w:ascii="Franklin Gothic Book" w:hAnsi="Franklin Gothic Book"/>
      <w:noProof/>
      <w:sz w:val="28"/>
      <w:lang w:val="en-GB" w:eastAsia="en-GB"/>
    </w:rPr>
  </w:style>
  <w:style w:type="paragraph" w:styleId="Puntoelenco">
    <w:name w:val="List Bullet"/>
    <w:basedOn w:val="Normale"/>
    <w:autoRedefine/>
    <w:rsid w:val="0085417E"/>
    <w:pPr>
      <w:tabs>
        <w:tab w:val="clear" w:pos="9072"/>
        <w:tab w:val="num" w:pos="357"/>
      </w:tabs>
      <w:spacing w:line="240" w:lineRule="atLeast"/>
      <w:ind w:left="357" w:hanging="357"/>
    </w:pPr>
    <w:rPr>
      <w:sz w:val="22"/>
      <w:lang w:val="nl-NL" w:eastAsia="en-GB"/>
    </w:rPr>
  </w:style>
  <w:style w:type="paragraph" w:customStyle="1" w:styleId="StyleCaptionCentered">
    <w:name w:val="Style Caption + Centered"/>
    <w:basedOn w:val="Didascalia"/>
    <w:next w:val="Normale"/>
    <w:rsid w:val="00DA3F3B"/>
    <w:pPr>
      <w:tabs>
        <w:tab w:val="clear" w:pos="9072"/>
        <w:tab w:val="left" w:pos="964"/>
      </w:tabs>
      <w:spacing w:after="0" w:line="480" w:lineRule="auto"/>
    </w:pPr>
    <w:rPr>
      <w:b/>
      <w:bCs/>
      <w:i w:val="0"/>
      <w:sz w:val="20"/>
      <w:lang w:val="en-US"/>
    </w:rPr>
  </w:style>
  <w:style w:type="paragraph" w:customStyle="1" w:styleId="MTDisplayEquation">
    <w:name w:val="MTDisplayEquation"/>
    <w:basedOn w:val="Equation"/>
    <w:next w:val="Normale"/>
    <w:rsid w:val="001E0B36"/>
    <w:pPr>
      <w:shd w:val="clear" w:color="auto" w:fill="FFFF00"/>
      <w:tabs>
        <w:tab w:val="clear" w:pos="9072"/>
        <w:tab w:val="right" w:pos="9080"/>
      </w:tabs>
    </w:pPr>
    <w:rPr>
      <w:lang w:val="en-GB"/>
    </w:rPr>
  </w:style>
  <w:style w:type="paragraph" w:customStyle="1" w:styleId="references0">
    <w:name w:val="references"/>
    <w:basedOn w:val="Normale"/>
    <w:rsid w:val="00F63E0A"/>
  </w:style>
  <w:style w:type="paragraph" w:customStyle="1" w:styleId="References">
    <w:name w:val="References"/>
    <w:basedOn w:val="Normale"/>
    <w:rsid w:val="005E2186"/>
    <w:pPr>
      <w:numPr>
        <w:numId w:val="2"/>
      </w:numPr>
    </w:pPr>
  </w:style>
  <w:style w:type="character" w:customStyle="1" w:styleId="CorpotestoCarattere">
    <w:name w:val="Corpo testo Carattere"/>
    <w:basedOn w:val="Carpredefinitoparagrafo"/>
    <w:link w:val="Corpotesto"/>
    <w:rsid w:val="00382ABC"/>
    <w:rPr>
      <w:sz w:val="24"/>
      <w:lang w:val="en-GB" w:eastAsia="en-US" w:bidi="ar-SA"/>
    </w:rPr>
  </w:style>
  <w:style w:type="paragraph" w:styleId="Sottotitolo">
    <w:name w:val="Subtitle"/>
    <w:basedOn w:val="Normale"/>
    <w:next w:val="Normale"/>
    <w:link w:val="SottotitoloCarattere"/>
    <w:qFormat/>
    <w:rsid w:val="00BC6FB1"/>
    <w:pPr>
      <w:spacing w:after="60"/>
      <w:jc w:val="center"/>
      <w:outlineLvl w:val="1"/>
    </w:pPr>
    <w:rPr>
      <w:rFonts w:asciiTheme="majorHAnsi" w:eastAsiaTheme="majorEastAsia" w:hAnsiTheme="majorHAnsi" w:cstheme="majorBidi"/>
      <w:szCs w:val="24"/>
    </w:rPr>
  </w:style>
  <w:style w:type="character" w:customStyle="1" w:styleId="SottotitoloCarattere">
    <w:name w:val="Sottotitolo Carattere"/>
    <w:basedOn w:val="Carpredefinitoparagrafo"/>
    <w:link w:val="Sottotitolo"/>
    <w:rsid w:val="00BC6FB1"/>
    <w:rPr>
      <w:rFonts w:asciiTheme="majorHAnsi" w:eastAsiaTheme="majorEastAsia" w:hAnsiTheme="majorHAnsi" w:cstheme="majorBidi"/>
      <w:sz w:val="24"/>
      <w:szCs w:val="24"/>
      <w:lang w:val="en-GB"/>
    </w:rPr>
  </w:style>
  <w:style w:type="paragraph" w:styleId="Paragrafoelenco">
    <w:name w:val="List Paragraph"/>
    <w:basedOn w:val="Normale"/>
    <w:uiPriority w:val="34"/>
    <w:qFormat/>
    <w:rsid w:val="00D2372C"/>
    <w:pPr>
      <w:ind w:left="720"/>
      <w:contextualSpacing/>
    </w:pPr>
  </w:style>
  <w:style w:type="paragraph" w:styleId="Testofumetto">
    <w:name w:val="Balloon Text"/>
    <w:basedOn w:val="Normale"/>
    <w:link w:val="TestofumettoCarattere"/>
    <w:rsid w:val="0035356D"/>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rsid w:val="0035356D"/>
    <w:rPr>
      <w:rFonts w:ascii="Tahoma" w:hAnsi="Tahoma" w:cs="Tahoma"/>
      <w:sz w:val="16"/>
      <w:szCs w:val="16"/>
      <w:lang w:val="en-GB"/>
    </w:rPr>
  </w:style>
  <w:style w:type="paragraph" w:styleId="Corpodeltesto3">
    <w:name w:val="Body Text 3"/>
    <w:basedOn w:val="Normale"/>
    <w:link w:val="Corpodeltesto3Carattere"/>
    <w:rsid w:val="00EF402E"/>
    <w:pPr>
      <w:spacing w:after="120"/>
    </w:pPr>
    <w:rPr>
      <w:sz w:val="16"/>
      <w:szCs w:val="16"/>
    </w:rPr>
  </w:style>
  <w:style w:type="character" w:customStyle="1" w:styleId="Corpodeltesto3Carattere">
    <w:name w:val="Corpo del testo 3 Carattere"/>
    <w:basedOn w:val="Carpredefinitoparagrafo"/>
    <w:link w:val="Corpodeltesto3"/>
    <w:rsid w:val="00EF402E"/>
    <w:rPr>
      <w:sz w:val="16"/>
      <w:szCs w:val="16"/>
      <w:lang w:val="en-GB"/>
    </w:rPr>
  </w:style>
  <w:style w:type="paragraph" w:styleId="NormaleWeb">
    <w:name w:val="Normal (Web)"/>
    <w:basedOn w:val="Normale"/>
    <w:uiPriority w:val="99"/>
    <w:unhideWhenUsed/>
    <w:rsid w:val="007B3043"/>
    <w:pPr>
      <w:tabs>
        <w:tab w:val="clear" w:pos="9072"/>
      </w:tabs>
      <w:spacing w:before="100" w:beforeAutospacing="1" w:after="100" w:afterAutospacing="1" w:line="240" w:lineRule="auto"/>
    </w:pPr>
    <w:rPr>
      <w:szCs w:val="24"/>
      <w:lang w:val="en-US" w:eastAsia="fr-BE"/>
    </w:rPr>
  </w:style>
  <w:style w:type="paragraph" w:customStyle="1" w:styleId="Normal1">
    <w:name w:val="Normal1"/>
    <w:rsid w:val="00921C2C"/>
    <w:pPr>
      <w:suppressAutoHyphens/>
      <w:textAlignment w:val="baseline"/>
    </w:pPr>
    <w:rPr>
      <w:rFonts w:ascii="Liberation Serif" w:eastAsia="WenQuanYi Zen Hei" w:hAnsi="Liberation Serif" w:cs="Lohit Devanagari"/>
      <w:sz w:val="24"/>
      <w:szCs w:val="24"/>
      <w:lang w:eastAsia="zh-CN" w:bidi="hi-IN"/>
    </w:rPr>
  </w:style>
  <w:style w:type="character" w:styleId="Rimandocommento">
    <w:name w:val="annotation reference"/>
    <w:basedOn w:val="Carpredefinitoparagrafo"/>
    <w:rsid w:val="001B18C2"/>
    <w:rPr>
      <w:sz w:val="16"/>
      <w:szCs w:val="16"/>
    </w:rPr>
  </w:style>
  <w:style w:type="paragraph" w:styleId="Testocommento">
    <w:name w:val="annotation text"/>
    <w:basedOn w:val="Normale"/>
    <w:link w:val="TestocommentoCarattere"/>
    <w:rsid w:val="001B18C2"/>
    <w:pPr>
      <w:spacing w:line="240" w:lineRule="auto"/>
    </w:pPr>
    <w:rPr>
      <w:sz w:val="20"/>
    </w:rPr>
  </w:style>
  <w:style w:type="character" w:customStyle="1" w:styleId="TestocommentoCarattere">
    <w:name w:val="Testo commento Carattere"/>
    <w:basedOn w:val="Carpredefinitoparagrafo"/>
    <w:link w:val="Testocommento"/>
    <w:rsid w:val="001B18C2"/>
    <w:rPr>
      <w:lang w:val="en-GB"/>
    </w:rPr>
  </w:style>
  <w:style w:type="paragraph" w:styleId="Soggettocommento">
    <w:name w:val="annotation subject"/>
    <w:basedOn w:val="Testocommento"/>
    <w:next w:val="Testocommento"/>
    <w:link w:val="SoggettocommentoCarattere"/>
    <w:rsid w:val="001B18C2"/>
    <w:rPr>
      <w:b/>
      <w:bCs/>
    </w:rPr>
  </w:style>
  <w:style w:type="character" w:customStyle="1" w:styleId="SoggettocommentoCarattere">
    <w:name w:val="Soggetto commento Carattere"/>
    <w:basedOn w:val="TestocommentoCarattere"/>
    <w:link w:val="Soggettocommento"/>
    <w:rsid w:val="001B18C2"/>
    <w:rPr>
      <w:b/>
      <w:bCs/>
      <w:lang w:val="en-GB"/>
    </w:rPr>
  </w:style>
</w:styles>
</file>

<file path=word/webSettings.xml><?xml version="1.0" encoding="utf-8"?>
<w:webSettings xmlns:r="http://schemas.openxmlformats.org/officeDocument/2006/relationships" xmlns:w="http://schemas.openxmlformats.org/wordprocessingml/2006/main">
  <w:divs>
    <w:div w:id="737477317">
      <w:bodyDiv w:val="1"/>
      <w:marLeft w:val="0"/>
      <w:marRight w:val="0"/>
      <w:marTop w:val="0"/>
      <w:marBottom w:val="0"/>
      <w:divBdr>
        <w:top w:val="none" w:sz="0" w:space="0" w:color="auto"/>
        <w:left w:val="none" w:sz="0" w:space="0" w:color="auto"/>
        <w:bottom w:val="none" w:sz="0" w:space="0" w:color="auto"/>
        <w:right w:val="none" w:sz="0" w:space="0" w:color="auto"/>
      </w:divBdr>
    </w:div>
    <w:div w:id="892934366">
      <w:bodyDiv w:val="1"/>
      <w:marLeft w:val="0"/>
      <w:marRight w:val="0"/>
      <w:marTop w:val="0"/>
      <w:marBottom w:val="0"/>
      <w:divBdr>
        <w:top w:val="none" w:sz="0" w:space="0" w:color="auto"/>
        <w:left w:val="none" w:sz="0" w:space="0" w:color="auto"/>
        <w:bottom w:val="none" w:sz="0" w:space="0" w:color="auto"/>
        <w:right w:val="none" w:sz="0" w:space="0" w:color="auto"/>
      </w:divBdr>
    </w:div>
    <w:div w:id="1414550994">
      <w:bodyDiv w:val="1"/>
      <w:marLeft w:val="0"/>
      <w:marRight w:val="0"/>
      <w:marTop w:val="0"/>
      <w:marBottom w:val="0"/>
      <w:divBdr>
        <w:top w:val="none" w:sz="0" w:space="0" w:color="auto"/>
        <w:left w:val="none" w:sz="0" w:space="0" w:color="auto"/>
        <w:bottom w:val="none" w:sz="0" w:space="0" w:color="auto"/>
        <w:right w:val="none" w:sz="0" w:space="0" w:color="auto"/>
      </w:divBdr>
    </w:div>
    <w:div w:id="162380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gif"/><Relationship Id="rId42" Type="http://schemas.openxmlformats.org/officeDocument/2006/relationships/image" Target="media/image35.png"/><Relationship Id="rId47" Type="http://schemas.openxmlformats.org/officeDocument/2006/relationships/hyperlink" Target="TubRup2_Sc1Fast.avi" TargetMode="External"/><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3.png"/><Relationship Id="rId89" Type="http://schemas.openxmlformats.org/officeDocument/2006/relationships/image" Target="media/image78.jpeg"/><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png"/><Relationship Id="rId107" Type="http://schemas.openxmlformats.org/officeDocument/2006/relationships/fontTable" Target="fontTable.xml"/><Relationship Id="rId11" Type="http://schemas.openxmlformats.org/officeDocument/2006/relationships/image" Target="media/image4.png"/><Relationship Id="rId24" Type="http://schemas.openxmlformats.org/officeDocument/2006/relationships/image" Target="media/image17.gi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oter" Target="footer1.xml"/><Relationship Id="rId79" Type="http://schemas.openxmlformats.org/officeDocument/2006/relationships/image" Target="media/image68.jpeg"/><Relationship Id="rId87" Type="http://schemas.openxmlformats.org/officeDocument/2006/relationships/image" Target="media/image76.png"/><Relationship Id="rId102" Type="http://schemas.openxmlformats.org/officeDocument/2006/relationships/hyperlink" Target="http://publications.crs4.it/pubdocs/2000/ABFMMS00e" TargetMode="Externa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1.png"/><Relationship Id="rId90" Type="http://schemas.openxmlformats.org/officeDocument/2006/relationships/image" Target="media/image79.jpeg"/><Relationship Id="rId95" Type="http://schemas.openxmlformats.org/officeDocument/2006/relationships/image" Target="media/image84.png"/><Relationship Id="rId19" Type="http://schemas.openxmlformats.org/officeDocument/2006/relationships/image" Target="media/image1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6.png"/><Relationship Id="rId100" Type="http://schemas.openxmlformats.org/officeDocument/2006/relationships/image" Target="media/image89.jpeg"/><Relationship Id="rId105" Type="http://schemas.openxmlformats.org/officeDocument/2006/relationships/hyperlink" Target="http://www.nea.fr/html/science/reports/2007/nea6195-handbook.html"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69.pn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7.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file:///C:\users\10492\Desktop\SESAME\VKIlecture2017\TubRup2_Sc1Fast.avi" TargetMode="External"/><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hyperlink" Target="http://publications.crs4.it/pubdocs/2000/ABFMMS00h" TargetMode="External"/><Relationship Id="rId108" Type="http://schemas.openxmlformats.org/officeDocument/2006/relationships/theme" Target="theme/theme1.xml"/><Relationship Id="rId20" Type="http://schemas.openxmlformats.org/officeDocument/2006/relationships/image" Target="media/image13.gif"/><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footer" Target="footer2.xml"/><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jpe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hyperlink" Target="http://www.openfoam.org/docs/user/snappyHexMesh.php"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png"/><Relationship Id="rId78" Type="http://schemas.openxmlformats.org/officeDocument/2006/relationships/image" Target="media/image67.jpe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gif"/><Relationship Id="rId39" Type="http://schemas.openxmlformats.org/officeDocument/2006/relationships/image" Target="media/image32.png"/><Relationship Id="rId109" Type="http://schemas.microsoft.com/office/2007/relationships/stylesWithEffects" Target="stylesWithEffects.xml"/><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6.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hyperlink" Target="http://publications.crs4.it/pubdocs/2009/MMP09" TargetMode="Externa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2E35DDA-B4E4-4A94-B00F-00E74DAC9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42</Pages>
  <Words>10964</Words>
  <Characters>61426</Characters>
  <Application>Microsoft Office Word</Application>
  <DocSecurity>0</DocSecurity>
  <Lines>511</Lines>
  <Paragraphs>144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INTRODUCTION</vt:lpstr>
      <vt:lpstr>INTRODUCTION</vt:lpstr>
    </vt:vector>
  </TitlesOfParts>
  <Company>National Aerospce Laboratory</Company>
  <LinksUpToDate>false</LinksUpToDate>
  <CharactersWithSpaces>72246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Sijtsma</dc:creator>
  <cp:lastModifiedBy>Koloszar Lilla</cp:lastModifiedBy>
  <cp:revision>12</cp:revision>
  <cp:lastPrinted>2017-03-28T07:16:00Z</cp:lastPrinted>
  <dcterms:created xsi:type="dcterms:W3CDTF">2017-04-03T09:00:00Z</dcterms:created>
  <dcterms:modified xsi:type="dcterms:W3CDTF">2017-04-03T11:38:00Z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uationNumber2">
    <vt:lpwstr>(#E1)</vt:lpwstr>
  </property>
  <property fmtid="{D5CDD505-2E9C-101B-9397-08002B2CF9AE}" pid="4"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5" name="MTPreferences 1">
    <vt:lpwstr>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6"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7"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8" name="MTPreferenceSource">
    <vt:lpwstr>MathType</vt:lpwstr>
  </property>
  <property fmtid="{D5CDD505-2E9C-101B-9397-08002B2CF9AE}" pid="9" name="MTWinEqns">
    <vt:bool>true</vt:bool>
  </property>
</Properties>
</file>